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F97" w:rsidRPr="00863F97" w:rsidRDefault="00863F97" w:rsidP="00863F97">
      <w:pPr>
        <w:widowControl w:val="0"/>
        <w:jc w:val="right"/>
        <w:outlineLvl w:val="0"/>
        <w:rPr>
          <w:bCs/>
          <w:color w:val="000000"/>
          <w:sz w:val="26"/>
          <w:szCs w:val="26"/>
        </w:rPr>
      </w:pPr>
      <w:r w:rsidRPr="00863F97">
        <w:rPr>
          <w:bCs/>
          <w:color w:val="000000"/>
          <w:sz w:val="26"/>
          <w:szCs w:val="26"/>
        </w:rPr>
        <w:t xml:space="preserve">                                                                                           Проект</w:t>
      </w:r>
    </w:p>
    <w:p w:rsidR="001A2069" w:rsidRDefault="00F5555F">
      <w:pPr>
        <w:widowControl w:val="0"/>
        <w:numPr>
          <w:ilvl w:val="0"/>
          <w:numId w:val="2"/>
        </w:numPr>
        <w:jc w:val="center"/>
        <w:outlineLvl w:val="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ПАСПОРТ</w:t>
      </w:r>
      <w:r>
        <w:rPr>
          <w:b/>
          <w:bCs/>
          <w:color w:val="000000"/>
          <w:sz w:val="26"/>
          <w:szCs w:val="26"/>
          <w:vertAlign w:val="superscript"/>
        </w:rPr>
        <w:t> </w:t>
      </w:r>
      <w:bookmarkStart w:id="0" w:name="_GoBack"/>
      <w:bookmarkEnd w:id="0"/>
      <w:r>
        <w:rPr>
          <w:b/>
          <w:bCs/>
          <w:color w:val="000000"/>
          <w:sz w:val="26"/>
          <w:szCs w:val="26"/>
        </w:rPr>
        <w:br w:type="textWrapping" w:clear="all"/>
        <w:t xml:space="preserve">государственной программы  Чувашской Республики «Модернизация и развитие сферы </w:t>
      </w:r>
      <w:r>
        <w:rPr>
          <w:b/>
          <w:bCs/>
          <w:color w:val="000000"/>
          <w:sz w:val="26"/>
          <w:szCs w:val="26"/>
        </w:rPr>
        <w:br w:type="textWrapping" w:clear="all"/>
        <w:t>жилищно-коммунального хозяйства»</w:t>
      </w:r>
      <w:r>
        <w:rPr>
          <w:b/>
          <w:bCs/>
          <w:color w:val="000000"/>
          <w:sz w:val="26"/>
          <w:szCs w:val="26"/>
          <w:vertAlign w:val="superscript"/>
        </w:rPr>
        <w:t> </w:t>
      </w:r>
    </w:p>
    <w:p w:rsidR="001A2069" w:rsidRDefault="001A2069">
      <w:pPr>
        <w:widowControl w:val="0"/>
        <w:numPr>
          <w:ilvl w:val="0"/>
          <w:numId w:val="2"/>
        </w:numPr>
        <w:jc w:val="center"/>
        <w:outlineLvl w:val="0"/>
        <w:rPr>
          <w:bCs/>
          <w:color w:val="000000"/>
          <w:sz w:val="26"/>
          <w:szCs w:val="26"/>
        </w:rPr>
      </w:pPr>
    </w:p>
    <w:p w:rsidR="001A2069" w:rsidRDefault="00F5555F">
      <w:pPr>
        <w:widowControl w:val="0"/>
        <w:numPr>
          <w:ilvl w:val="0"/>
          <w:numId w:val="2"/>
        </w:numPr>
        <w:jc w:val="center"/>
        <w:outlineLvl w:val="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1. Основные положения</w:t>
      </w:r>
    </w:p>
    <w:p w:rsidR="001A2069" w:rsidRDefault="001A2069">
      <w:pPr>
        <w:widowControl w:val="0"/>
        <w:ind w:firstLine="720"/>
        <w:jc w:val="both"/>
        <w:rPr>
          <w:color w:val="000000"/>
          <w:sz w:val="26"/>
          <w:szCs w:val="26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22"/>
        <w:gridCol w:w="8804"/>
      </w:tblGrid>
      <w:tr w:rsidR="001A2069">
        <w:tc>
          <w:tcPr>
            <w:tcW w:w="6222" w:type="dxa"/>
          </w:tcPr>
          <w:p w:rsidR="001A2069" w:rsidRDefault="00F5555F">
            <w:pPr>
              <w:widowControl w:val="0"/>
              <w:numPr>
                <w:ilvl w:val="0"/>
                <w:numId w:val="2"/>
              </w:numPr>
              <w:spacing w:line="230" w:lineRule="auto"/>
              <w:jc w:val="both"/>
              <w:outlineLvl w:val="0"/>
              <w:rPr>
                <w:bCs/>
                <w:color w:val="000000"/>
              </w:rPr>
            </w:pPr>
            <w:r>
              <w:rPr>
                <w:color w:val="000000"/>
              </w:rPr>
              <w:t>Куратор Государственной программы</w:t>
            </w:r>
          </w:p>
        </w:tc>
        <w:tc>
          <w:tcPr>
            <w:tcW w:w="8804" w:type="dxa"/>
          </w:tcPr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A2069">
        <w:tc>
          <w:tcPr>
            <w:tcW w:w="6222" w:type="dxa"/>
          </w:tcPr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 Государственной программы</w:t>
            </w:r>
          </w:p>
        </w:tc>
        <w:tc>
          <w:tcPr>
            <w:tcW w:w="8804" w:type="dxa"/>
          </w:tcPr>
          <w:p w:rsidR="001A2069" w:rsidRDefault="00F5555F">
            <w:pPr>
              <w:spacing w:line="230" w:lineRule="auto"/>
              <w:ind w:right="-2"/>
              <w:jc w:val="both"/>
              <w:rPr>
                <w:color w:val="000000"/>
              </w:rPr>
            </w:pPr>
            <w:r>
              <w:rPr>
                <w:color w:val="000000"/>
              </w:rPr>
              <w:t>заместитель министра строительства, архитектуры и жилищно-коммунального хозяйства Чувашской Республики Филиппова Е.В.</w:t>
            </w:r>
          </w:p>
        </w:tc>
      </w:tr>
      <w:tr w:rsidR="001A2069">
        <w:tc>
          <w:tcPr>
            <w:tcW w:w="6222" w:type="dxa"/>
          </w:tcPr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Соисполнители Государственной программы</w:t>
            </w:r>
          </w:p>
        </w:tc>
        <w:tc>
          <w:tcPr>
            <w:tcW w:w="8804" w:type="dxa"/>
          </w:tcPr>
          <w:p w:rsidR="001A2069" w:rsidRDefault="00F5555F">
            <w:pPr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Министерство природных ресурсов и экологии Чувашской Республики;</w:t>
            </w:r>
          </w:p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некоммерческая организация «Республиканский фонд капитального ремонта многоквартирных домов» (по согласованию)</w:t>
            </w:r>
          </w:p>
        </w:tc>
      </w:tr>
      <w:tr w:rsidR="001A2069">
        <w:tc>
          <w:tcPr>
            <w:tcW w:w="6222" w:type="dxa"/>
          </w:tcPr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Участники Государственной программы</w:t>
            </w:r>
          </w:p>
        </w:tc>
        <w:tc>
          <w:tcPr>
            <w:tcW w:w="8804" w:type="dxa"/>
          </w:tcPr>
          <w:p w:rsidR="001A2069" w:rsidRDefault="00F5555F">
            <w:pPr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органы местного самоуправления в Чувашской Республике (по согласованию);</w:t>
            </w:r>
          </w:p>
          <w:p w:rsidR="001A2069" w:rsidRDefault="00F5555F">
            <w:pPr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газораспределительные организации (по согласованию)</w:t>
            </w:r>
          </w:p>
        </w:tc>
      </w:tr>
      <w:tr w:rsidR="001A2069">
        <w:tc>
          <w:tcPr>
            <w:tcW w:w="6222" w:type="dxa"/>
          </w:tcPr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Направления (подпрограммы)</w:t>
            </w:r>
            <w:r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8804" w:type="dxa"/>
          </w:tcPr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отсутствует</w:t>
            </w:r>
          </w:p>
        </w:tc>
      </w:tr>
      <w:tr w:rsidR="001A2069">
        <w:tc>
          <w:tcPr>
            <w:tcW w:w="6222" w:type="dxa"/>
          </w:tcPr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Цель  Государственной программы </w:t>
            </w:r>
          </w:p>
        </w:tc>
        <w:tc>
          <w:tcPr>
            <w:tcW w:w="8804" w:type="dxa"/>
          </w:tcPr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цель 1 – обеспечение населения Чувашской Республики питьевой водой, соответствующей требованиям безопасности и безвредности, установленным санитарно-эпидемиологическими правилами, в объеме, достаточном для жизнедеятельности;</w:t>
            </w:r>
          </w:p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цель 2 – создание условий для приведения коммунальной инфраструктуры в соответствие со стандартами качества, обеспечивающими комфортные и безопасные условия проживания населения;</w:t>
            </w:r>
          </w:p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цель 3 – повышение надежности функционирования газотранспортной системы населенных пунктов Чувашской Республики</w:t>
            </w:r>
          </w:p>
        </w:tc>
      </w:tr>
      <w:tr w:rsidR="001A2069">
        <w:tc>
          <w:tcPr>
            <w:tcW w:w="6222" w:type="dxa"/>
          </w:tcPr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Сроки и этапы реализации Государственной программы</w:t>
            </w:r>
          </w:p>
        </w:tc>
        <w:tc>
          <w:tcPr>
            <w:tcW w:w="8804" w:type="dxa"/>
          </w:tcPr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 этап: 2019–2023 годы;</w:t>
            </w:r>
          </w:p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II этап: 2024–2030 годы;</w:t>
            </w:r>
          </w:p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III</w:t>
            </w:r>
            <w:r>
              <w:rPr>
                <w:color w:val="000000"/>
              </w:rPr>
              <w:t xml:space="preserve"> этап : 2031–2035 годы</w:t>
            </w:r>
          </w:p>
        </w:tc>
      </w:tr>
      <w:tr w:rsidR="001A2069">
        <w:tc>
          <w:tcPr>
            <w:tcW w:w="6222" w:type="dxa"/>
          </w:tcPr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>
              <w:rPr>
                <w:color w:val="000000"/>
                <w:vertAlign w:val="superscript"/>
              </w:rPr>
              <w:t> </w:t>
            </w:r>
          </w:p>
        </w:tc>
        <w:tc>
          <w:tcPr>
            <w:tcW w:w="8804" w:type="dxa"/>
          </w:tcPr>
          <w:p w:rsidR="001A2069" w:rsidRDefault="00F5555F">
            <w:pPr>
              <w:spacing w:line="230" w:lineRule="auto"/>
              <w:jc w:val="both"/>
              <w:rPr>
                <w:color w:val="000000"/>
                <w:sz w:val="26"/>
                <w:szCs w:val="26"/>
                <w:highlight w:val="white"/>
              </w:rPr>
            </w:pPr>
            <w:r>
              <w:rPr>
                <w:color w:val="000000"/>
                <w:sz w:val="26"/>
                <w:szCs w:val="26"/>
                <w:highlight w:val="white"/>
              </w:rPr>
              <w:t xml:space="preserve">прогнозируемый объем финансирования Государственной программы в 2019–2035 годах составляет </w:t>
            </w:r>
            <w:r>
              <w:rPr>
                <w:rFonts w:eastAsia="Calibri"/>
                <w:color w:val="000000"/>
                <w:sz w:val="26"/>
                <w:szCs w:val="26"/>
                <w:highlight w:val="white"/>
              </w:rPr>
              <w:t xml:space="preserve">22454784,7 </w:t>
            </w:r>
            <w:r>
              <w:rPr>
                <w:color w:val="000000"/>
                <w:sz w:val="26"/>
                <w:szCs w:val="26"/>
                <w:highlight w:val="white"/>
              </w:rPr>
              <w:t xml:space="preserve">тыс. рублей, в том числе: </w:t>
            </w:r>
          </w:p>
          <w:p w:rsidR="001A2069" w:rsidRDefault="00F5555F">
            <w:pPr>
              <w:spacing w:line="230" w:lineRule="auto"/>
              <w:jc w:val="both"/>
              <w:rPr>
                <w:color w:val="000000"/>
                <w:sz w:val="26"/>
                <w:szCs w:val="26"/>
                <w:highlight w:val="white"/>
              </w:rPr>
            </w:pPr>
            <w:r>
              <w:rPr>
                <w:color w:val="000000"/>
                <w:sz w:val="26"/>
                <w:szCs w:val="26"/>
                <w:highlight w:val="white"/>
              </w:rPr>
              <w:t>в 2019–2023 годах – 10892295,7 тыс. рублей;</w:t>
            </w:r>
          </w:p>
          <w:p w:rsidR="001A2069" w:rsidRDefault="00F5555F">
            <w:pPr>
              <w:spacing w:line="230" w:lineRule="auto"/>
              <w:jc w:val="both"/>
              <w:rPr>
                <w:color w:val="000000"/>
                <w:sz w:val="26"/>
                <w:szCs w:val="26"/>
                <w:highlight w:val="white"/>
              </w:rPr>
            </w:pPr>
            <w:r>
              <w:rPr>
                <w:color w:val="000000"/>
                <w:sz w:val="26"/>
                <w:szCs w:val="26"/>
                <w:highlight w:val="white"/>
              </w:rPr>
              <w:t xml:space="preserve">в 2024 году – </w:t>
            </w:r>
            <w:r>
              <w:rPr>
                <w:rFonts w:eastAsia="Calibri"/>
                <w:color w:val="000000"/>
                <w:sz w:val="26"/>
                <w:szCs w:val="26"/>
                <w:highlight w:val="white"/>
              </w:rPr>
              <w:t>5367476,4</w:t>
            </w:r>
            <w:r>
              <w:rPr>
                <w:color w:val="000000"/>
                <w:sz w:val="26"/>
                <w:szCs w:val="26"/>
                <w:highlight w:val="white"/>
              </w:rPr>
              <w:t xml:space="preserve"> тыс. рублей; </w:t>
            </w:r>
          </w:p>
          <w:p w:rsidR="001A2069" w:rsidRDefault="00F5555F">
            <w:pPr>
              <w:spacing w:line="230" w:lineRule="auto"/>
              <w:jc w:val="both"/>
              <w:rPr>
                <w:color w:val="000000"/>
                <w:sz w:val="26"/>
                <w:szCs w:val="26"/>
                <w:highlight w:val="white"/>
              </w:rPr>
            </w:pPr>
            <w:r>
              <w:rPr>
                <w:color w:val="000000"/>
                <w:sz w:val="26"/>
                <w:szCs w:val="26"/>
                <w:highlight w:val="white"/>
              </w:rPr>
              <w:t xml:space="preserve">в 2025 году – 3512828,0 тыс. рублей; </w:t>
            </w:r>
          </w:p>
          <w:p w:rsidR="001A2069" w:rsidRDefault="00F5555F">
            <w:pPr>
              <w:widowControl w:val="0"/>
              <w:spacing w:line="230" w:lineRule="auto"/>
              <w:outlineLvl w:val="0"/>
              <w:rPr>
                <w:rFonts w:eastAsia="Calibri"/>
                <w:color w:val="000000"/>
                <w:sz w:val="26"/>
                <w:szCs w:val="26"/>
                <w:highlight w:val="white"/>
              </w:rPr>
            </w:pPr>
            <w:r>
              <w:rPr>
                <w:color w:val="000000"/>
                <w:sz w:val="26"/>
                <w:szCs w:val="26"/>
                <w:highlight w:val="white"/>
              </w:rPr>
              <w:t xml:space="preserve">в 2026 году – </w:t>
            </w:r>
            <w:r>
              <w:rPr>
                <w:rFonts w:eastAsia="Calibri"/>
                <w:color w:val="000000"/>
                <w:sz w:val="26"/>
                <w:szCs w:val="26"/>
                <w:highlight w:val="white"/>
              </w:rPr>
              <w:t>1495213,9</w:t>
            </w:r>
            <w:r>
              <w:rPr>
                <w:color w:val="000000"/>
                <w:sz w:val="26"/>
                <w:szCs w:val="26"/>
                <w:highlight w:val="white"/>
              </w:rPr>
              <w:t xml:space="preserve"> тыс. рублей;</w:t>
            </w:r>
          </w:p>
          <w:p w:rsidR="001A2069" w:rsidRDefault="00F5555F">
            <w:pPr>
              <w:spacing w:line="230" w:lineRule="auto"/>
              <w:jc w:val="both"/>
              <w:rPr>
                <w:color w:val="000000"/>
                <w:sz w:val="26"/>
                <w:szCs w:val="26"/>
                <w:highlight w:val="white"/>
              </w:rPr>
            </w:pPr>
            <w:r>
              <w:rPr>
                <w:color w:val="000000"/>
                <w:sz w:val="26"/>
                <w:szCs w:val="26"/>
                <w:highlight w:val="white"/>
              </w:rPr>
              <w:lastRenderedPageBreak/>
              <w:t xml:space="preserve">в 2027 году – </w:t>
            </w:r>
            <w:r>
              <w:rPr>
                <w:rFonts w:eastAsia="Calibri"/>
                <w:color w:val="000000"/>
                <w:sz w:val="26"/>
                <w:szCs w:val="26"/>
                <w:highlight w:val="white"/>
              </w:rPr>
              <w:t>1186970,7</w:t>
            </w:r>
            <w:r>
              <w:rPr>
                <w:color w:val="000000"/>
                <w:sz w:val="26"/>
                <w:szCs w:val="26"/>
                <w:highlight w:val="white"/>
              </w:rPr>
              <w:t xml:space="preserve"> тыс.рублей; </w:t>
            </w:r>
          </w:p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  <w:sz w:val="26"/>
                <w:szCs w:val="26"/>
                <w:highlight w:val="white"/>
              </w:rPr>
              <w:t>в 2028–2035 годах – 0 тыс. рублей</w:t>
            </w:r>
          </w:p>
        </w:tc>
      </w:tr>
      <w:tr w:rsidR="001A2069">
        <w:tc>
          <w:tcPr>
            <w:tcW w:w="6222" w:type="dxa"/>
          </w:tcPr>
          <w:p w:rsidR="001A2069" w:rsidRDefault="00F5555F">
            <w:pPr>
              <w:widowControl w:val="0"/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Связь с национальными целями развития Российской Федерации, целями Стратегии развития  до 2035 года, государственной программой Российской Федерации, государственной программой Чувашской Республики</w:t>
            </w:r>
          </w:p>
        </w:tc>
        <w:tc>
          <w:tcPr>
            <w:tcW w:w="8804" w:type="dxa"/>
          </w:tcPr>
          <w:p w:rsidR="001A2069" w:rsidRDefault="00F5555F">
            <w:pPr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постановление Правительства Российской от 30 декабря 2017 г.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      </w:r>
          </w:p>
          <w:p w:rsidR="001A2069" w:rsidRDefault="00F5555F">
            <w:pPr>
              <w:spacing w:line="23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Указ Президента Российской Федерации от 21 июля 2020 г. № 474 «О национальных целях развития Российской Федерации на период до 2030 года»</w:t>
            </w:r>
          </w:p>
        </w:tc>
      </w:tr>
    </w:tbl>
    <w:p w:rsidR="001A2069" w:rsidRDefault="001A2069">
      <w:pPr>
        <w:widowControl w:val="0"/>
        <w:spacing w:line="230" w:lineRule="auto"/>
        <w:outlineLvl w:val="0"/>
        <w:rPr>
          <w:b/>
          <w:bCs/>
          <w:color w:val="000000"/>
          <w:sz w:val="26"/>
          <w:szCs w:val="26"/>
        </w:rPr>
      </w:pPr>
    </w:p>
    <w:p w:rsidR="001A2069" w:rsidRDefault="00F5555F">
      <w:pPr>
        <w:widowControl w:val="0"/>
        <w:numPr>
          <w:ilvl w:val="0"/>
          <w:numId w:val="2"/>
        </w:numPr>
        <w:spacing w:line="230" w:lineRule="auto"/>
        <w:jc w:val="center"/>
        <w:outlineLvl w:val="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2. Показатели государственной программы Чувашской Республики «Модернизация и развитие </w:t>
      </w:r>
      <w:r>
        <w:rPr>
          <w:b/>
          <w:bCs/>
          <w:color w:val="000000"/>
          <w:sz w:val="26"/>
          <w:szCs w:val="26"/>
        </w:rPr>
        <w:br w:type="textWrapping" w:clear="all"/>
        <w:t>сферы жилищно-коммунального хозяйства»</w:t>
      </w:r>
    </w:p>
    <w:p w:rsidR="001A2069" w:rsidRDefault="001A2069">
      <w:pPr>
        <w:widowControl w:val="0"/>
        <w:spacing w:line="230" w:lineRule="auto"/>
        <w:ind w:firstLine="720"/>
        <w:jc w:val="both"/>
        <w:rPr>
          <w:color w:val="000000"/>
          <w:sz w:val="26"/>
          <w:szCs w:val="26"/>
        </w:rPr>
      </w:pPr>
    </w:p>
    <w:tbl>
      <w:tblPr>
        <w:tblW w:w="508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634"/>
        <w:gridCol w:w="716"/>
        <w:gridCol w:w="926"/>
        <w:gridCol w:w="806"/>
        <w:gridCol w:w="713"/>
        <w:gridCol w:w="598"/>
        <w:gridCol w:w="541"/>
        <w:gridCol w:w="550"/>
        <w:gridCol w:w="571"/>
        <w:gridCol w:w="529"/>
        <w:gridCol w:w="568"/>
        <w:gridCol w:w="493"/>
        <w:gridCol w:w="1549"/>
        <w:gridCol w:w="1040"/>
        <w:gridCol w:w="1486"/>
        <w:gridCol w:w="851"/>
        <w:gridCol w:w="911"/>
      </w:tblGrid>
      <w:tr w:rsidR="001A2069">
        <w:tc>
          <w:tcPr>
            <w:tcW w:w="554" w:type="dxa"/>
            <w:vMerge w:val="restar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  <w:p w:rsidR="001A2069" w:rsidRDefault="00F5555F">
            <w:pPr>
              <w:widowControl w:val="0"/>
              <w:spacing w:line="22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пп</w:t>
            </w:r>
          </w:p>
        </w:tc>
        <w:tc>
          <w:tcPr>
            <w:tcW w:w="1634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показателя</w:t>
            </w:r>
            <w:r>
              <w:rPr>
                <w:color w:val="000000"/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ind w:left="-57" w:right="-57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Уро-вень пока-зателя</w:t>
            </w:r>
            <w:r>
              <w:rPr>
                <w:color w:val="00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Приз-нак возрас-тания/</w:t>
            </w:r>
          </w:p>
          <w:p w:rsidR="001A2069" w:rsidRDefault="00F5555F">
            <w:pPr>
              <w:widowControl w:val="0"/>
              <w:spacing w:line="22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убыва-ния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Еди-ница изме-рения (по </w:t>
            </w:r>
            <w:hyperlink r:id="rId8" w:history="1">
              <w:r>
                <w:rPr>
                  <w:color w:val="000000"/>
                  <w:spacing w:val="-6"/>
                  <w:sz w:val="22"/>
                  <w:szCs w:val="22"/>
                </w:rPr>
                <w:t>ОКЕИ</w:t>
              </w:r>
            </w:hyperlink>
            <w:r>
              <w:rPr>
                <w:color w:val="000000"/>
                <w:spacing w:val="-6"/>
                <w:sz w:val="22"/>
                <w:szCs w:val="22"/>
              </w:rPr>
              <w:t xml:space="preserve">) 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ind w:left="-57" w:right="-57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3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Документ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достижение показателя</w:t>
            </w:r>
            <w:r>
              <w:rPr>
                <w:color w:val="000000"/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48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Связь с показателями национальных целей развития, целей Стратегии до 2035 года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Приз-нак реали-зации в муниципаль-ных образованиях</w:t>
            </w:r>
          </w:p>
        </w:tc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Информа-ционная система</w:t>
            </w:r>
          </w:p>
        </w:tc>
      </w:tr>
      <w:tr w:rsidR="001A2069">
        <w:trPr>
          <w:cantSplit/>
          <w:trHeight w:val="1134"/>
        </w:trPr>
        <w:tc>
          <w:tcPr>
            <w:tcW w:w="554" w:type="dxa"/>
            <w:vMerge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A2069" w:rsidRDefault="001A2069">
            <w:pPr>
              <w:spacing w:line="22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634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A2069" w:rsidRDefault="001A2069">
            <w:pPr>
              <w:spacing w:line="22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1A2069" w:rsidRDefault="001A2069">
            <w:pPr>
              <w:spacing w:line="22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1A2069" w:rsidRDefault="001A2069">
            <w:pPr>
              <w:spacing w:line="22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A2069" w:rsidRDefault="001A2069">
            <w:pPr>
              <w:spacing w:line="22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1A2069" w:rsidRDefault="00F5555F">
            <w:pPr>
              <w:spacing w:line="226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26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extDirection w:val="btLr"/>
          </w:tcPr>
          <w:p w:rsidR="001A2069" w:rsidRDefault="00F5555F">
            <w:pPr>
              <w:widowControl w:val="0"/>
              <w:spacing w:line="226" w:lineRule="auto"/>
              <w:ind w:left="-57" w:right="-57"/>
              <w:jc w:val="center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2023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textDirection w:val="btLr"/>
          </w:tcPr>
          <w:p w:rsidR="001A2069" w:rsidRDefault="00F5555F">
            <w:pPr>
              <w:widowControl w:val="0"/>
              <w:spacing w:line="226" w:lineRule="auto"/>
              <w:ind w:left="-57" w:right="-57"/>
              <w:jc w:val="center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2024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textDirection w:val="btLr"/>
          </w:tcPr>
          <w:p w:rsidR="001A2069" w:rsidRDefault="00F5555F">
            <w:pPr>
              <w:widowControl w:val="0"/>
              <w:spacing w:line="226" w:lineRule="auto"/>
              <w:ind w:left="-57" w:right="-57"/>
              <w:jc w:val="center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2025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textDirection w:val="btLr"/>
          </w:tcPr>
          <w:p w:rsidR="001A2069" w:rsidRDefault="00F5555F">
            <w:pPr>
              <w:widowControl w:val="0"/>
              <w:spacing w:line="226" w:lineRule="auto"/>
              <w:ind w:left="-57" w:right="-57"/>
              <w:jc w:val="center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2026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extDirection w:val="btLr"/>
          </w:tcPr>
          <w:p w:rsidR="001A2069" w:rsidRDefault="00F5555F">
            <w:pPr>
              <w:widowControl w:val="0"/>
              <w:spacing w:line="226" w:lineRule="auto"/>
              <w:ind w:left="-57" w:right="-57"/>
              <w:jc w:val="center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2030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textDirection w:val="btLr"/>
          </w:tcPr>
          <w:p w:rsidR="001A2069" w:rsidRDefault="00F5555F">
            <w:pPr>
              <w:widowControl w:val="0"/>
              <w:spacing w:line="226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2035</w:t>
            </w: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A2069" w:rsidRDefault="001A2069">
            <w:pPr>
              <w:spacing w:line="22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A2069" w:rsidRDefault="001A2069">
            <w:pPr>
              <w:spacing w:line="22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A2069" w:rsidRDefault="001A2069">
            <w:pPr>
              <w:spacing w:line="22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1A2069" w:rsidRDefault="001A2069">
            <w:pPr>
              <w:spacing w:line="22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A2069" w:rsidRDefault="001A2069">
            <w:pPr>
              <w:spacing w:line="226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1A2069" w:rsidRDefault="001A2069">
      <w:pPr>
        <w:rPr>
          <w:color w:val="000000"/>
          <w:sz w:val="2"/>
          <w:szCs w:val="2"/>
        </w:rPr>
      </w:pPr>
    </w:p>
    <w:tbl>
      <w:tblPr>
        <w:tblW w:w="508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655"/>
        <w:gridCol w:w="686"/>
        <w:gridCol w:w="932"/>
        <w:gridCol w:w="851"/>
        <w:gridCol w:w="686"/>
        <w:gridCol w:w="589"/>
        <w:gridCol w:w="541"/>
        <w:gridCol w:w="550"/>
        <w:gridCol w:w="571"/>
        <w:gridCol w:w="529"/>
        <w:gridCol w:w="568"/>
        <w:gridCol w:w="523"/>
        <w:gridCol w:w="1519"/>
        <w:gridCol w:w="1043"/>
        <w:gridCol w:w="1504"/>
        <w:gridCol w:w="812"/>
        <w:gridCol w:w="929"/>
      </w:tblGrid>
      <w:tr w:rsidR="001A2069">
        <w:trPr>
          <w:tblHeader/>
        </w:trPr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</w:tr>
      <w:tr w:rsidR="001A2069">
        <w:tc>
          <w:tcPr>
            <w:tcW w:w="15036" w:type="dxa"/>
            <w:gridSpan w:val="1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Цель 1 – обеспечение населения Чувашской Республики питьевой водой, соответствующей требованиям безопасности и безвредности, установленным санитарно-эпидемиологическими правилами, в объеме, достаточном для жизнедеятельности</w:t>
            </w:r>
          </w:p>
        </w:tc>
      </w:tr>
      <w:tr w:rsidR="001A2069"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Доля населения Чувашской Республики, обеспеченного качественной питьевой водой из систем </w:t>
            </w:r>
            <w:r>
              <w:rPr>
                <w:color w:val="000000"/>
                <w:sz w:val="22"/>
                <w:szCs w:val="22"/>
              </w:rPr>
              <w:lastRenderedPageBreak/>
              <w:t>централизованного водоснабжения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ГП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про-центов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89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постановление Кабинета Министров Чувашской Республики от 29 декабря 2018 г. № 588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Минстрой Чувашии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комфортная и безопасная среда для жизни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официальный сайт Минстроя Чувашии</w:t>
            </w:r>
          </w:p>
        </w:tc>
      </w:tr>
      <w:tr w:rsidR="001A2069"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Доля уличной водопроводной сети, нуждающейся в замене, в общем протяжении водопроводной сети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процентов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32,9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постановление Кабинета Министров Чувашской Республики от 29 декабря 2018 г. № 588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Минстрой Чувашии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комфортная и безопасная среда для жизни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офици-альный сайт Мин-строя Чува-шии</w:t>
            </w:r>
          </w:p>
        </w:tc>
      </w:tr>
      <w:tr w:rsidR="001A2069">
        <w:tc>
          <w:tcPr>
            <w:tcW w:w="15036" w:type="dxa"/>
            <w:gridSpan w:val="1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Цель 2 – создание условий для приведения коммунальной инфраструктуры в соответствие со стандартами качества, обеспечивающими комфортные и безопасные условия проживания населения</w:t>
            </w:r>
          </w:p>
        </w:tc>
      </w:tr>
      <w:tr w:rsidR="001A2069"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Количество прекращений подачи тепловой энергии, теплоносителя в результате технологических нарушений на тепловых сетях на </w:t>
            </w:r>
            <w:r>
              <w:rPr>
                <w:color w:val="000000"/>
                <w:sz w:val="22"/>
                <w:szCs w:val="22"/>
              </w:rPr>
              <w:br w:type="textWrapping" w:clear="all"/>
              <w:t>1 км сетей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убывание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ед./км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постановление Кабинета Министров Чувашской Республики от 29 декабря 2018 г. № 588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Минстрой Чувашии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комфортная и безопасная среда для жизни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офици-альный сайт Мин-строя Чува-шии</w:t>
            </w:r>
          </w:p>
        </w:tc>
      </w:tr>
      <w:tr w:rsidR="001A2069"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Доля заемных средств в общем объеме капитальных вложений в системы теплоснабжения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возрас-тание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процентов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постановление Кабинета Министров Чувашской Республики от 29 декабря 2018 г. № 588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Минстрой Чувашии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комфортная и безопасная среда для жизни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офици-альный сайт Мин-строя Чува-шии</w:t>
            </w:r>
          </w:p>
        </w:tc>
      </w:tr>
      <w:tr w:rsidR="001A2069">
        <w:trPr>
          <w:trHeight w:val="413"/>
        </w:trPr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Количество замененных лифтов с истекшим сроком экс-плуатации  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постановление Кабинета Министров Чувашской Республики от 29 декабря 2018 г. № 588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Минстрой Чувашии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комфортная и безопасная среда для жизни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офици-альный сайт Мин-строя Чува-шии</w:t>
            </w:r>
          </w:p>
        </w:tc>
      </w:tr>
      <w:tr w:rsidR="001A2069"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Количество созданных и (или) модернизированных источников водоснабжения (водонапорных башен и водозаборных скважин) в населенных пунктах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spacing w:line="235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постановление Кабинета Министров Чувашской Республики от 29 декабря 2018 г. № 588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Минстрой Чувашии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комфортная и безопасная среда для жизни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офици-альный сайт Мин-строя Чува-шии</w:t>
            </w:r>
          </w:p>
        </w:tc>
      </w:tr>
      <w:tr w:rsidR="001A2069"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Количество семей, которым оказана государственная поддержка при переводе жилого помещения в многоквартирном доме с централизованного на индивидуальное отопление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spacing w:line="235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семей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spacing w:line="235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постановление Кабинета Министров Чувашской Республики от 29 декабря 2018 г. № 588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Минстрой Чувашии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комфортная и безопасная среда для жизни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офици-альный сайт Мин-строя Чува-шии</w:t>
            </w:r>
          </w:p>
        </w:tc>
      </w:tr>
      <w:tr w:rsidR="001A2069"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2.6.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возрас-тание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ind w:left="-113" w:right="-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spacing w:line="247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постановление Кабинета Министров Чувашской Республики от 29 декабря 2018 г. № 588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Минстрой Чувашии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комфортная и безопасная среда для жизни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офици-альный сайт Мин-строя Чува-шии</w:t>
            </w:r>
          </w:p>
        </w:tc>
      </w:tr>
      <w:tr w:rsidR="001A2069"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2.7.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Количество объектов теплоснабжения (котельных), в которых установлены приборы удаленного контроля работы оборудования, подключенные к единой автоматизированной системе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постановление Кабинета Министров Чувашской Республики от 29 декабря 2018 г. № 588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Минстрой Чувашии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комфортная и безопасная среда для жизни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офици-альный сайт Мин-строя Чува-шии</w:t>
            </w:r>
          </w:p>
        </w:tc>
      </w:tr>
      <w:tr w:rsidR="001A2069"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448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Цель 3 – повышение надежности функционирования газотранспортной системы населенных пунктов Чувашской Республики</w:t>
            </w:r>
          </w:p>
        </w:tc>
      </w:tr>
      <w:tr w:rsidR="001A2069"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 внутрипоселковых газопроводов</w:t>
            </w:r>
          </w:p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постановление Кабинета Министров Чувашской Республики от 29 декабря 2018 г. № 588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Минстрой Чувашии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комфортная и безопасная среда для жизни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офици-альный сайт Мин-строя Чува-шии</w:t>
            </w:r>
          </w:p>
        </w:tc>
      </w:tr>
      <w:tr w:rsidR="001A2069"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Догазификация домовладений (до границ земельного участка домовладений)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убывание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3902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113" w:right="-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постановление Кабинета Министров Чувашской Республики от 29 декабря 2018 г. № 588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Минстрой Чувашии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комфортная и безопасная среда для жизни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офици-альный сайт Мин-строя Чува-шии</w:t>
            </w:r>
          </w:p>
        </w:tc>
      </w:tr>
      <w:tr w:rsidR="001A2069">
        <w:tc>
          <w:tcPr>
            <w:tcW w:w="5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Оформление в собственность объектов газораспределения, являющихся бесхозяйными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ГП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возрас-тание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постановление Кабинета Министров Чувашской Республики от 29 декабря 2018 г. № 588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Минстрой Чувашии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комфортная и безопасная среда для жизни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офици-альный сайт Мин-строя Чува-шии</w:t>
            </w:r>
          </w:p>
        </w:tc>
      </w:tr>
    </w:tbl>
    <w:p w:rsidR="001A2069" w:rsidRDefault="001A2069">
      <w:pPr>
        <w:widowControl w:val="0"/>
        <w:numPr>
          <w:ilvl w:val="0"/>
          <w:numId w:val="2"/>
        </w:numPr>
        <w:jc w:val="center"/>
        <w:outlineLvl w:val="0"/>
        <w:rPr>
          <w:b/>
          <w:bCs/>
          <w:color w:val="000000"/>
          <w:sz w:val="26"/>
          <w:szCs w:val="26"/>
        </w:rPr>
      </w:pPr>
    </w:p>
    <w:p w:rsidR="001A2069" w:rsidRDefault="001A2069">
      <w:pPr>
        <w:widowControl w:val="0"/>
        <w:numPr>
          <w:ilvl w:val="0"/>
          <w:numId w:val="2"/>
        </w:numPr>
        <w:jc w:val="center"/>
        <w:outlineLvl w:val="0"/>
        <w:rPr>
          <w:b/>
          <w:bCs/>
          <w:color w:val="000000"/>
          <w:sz w:val="26"/>
          <w:szCs w:val="26"/>
        </w:rPr>
      </w:pPr>
    </w:p>
    <w:p w:rsidR="001A2069" w:rsidRDefault="00F5555F">
      <w:pPr>
        <w:widowControl w:val="0"/>
        <w:numPr>
          <w:ilvl w:val="0"/>
          <w:numId w:val="2"/>
        </w:numPr>
        <w:jc w:val="center"/>
        <w:outlineLvl w:val="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3. Структура государственной программы Чувашской Республики «Модернизация и развитие сферы жилищно-коммунального хозяйства»</w:t>
      </w:r>
    </w:p>
    <w:p w:rsidR="001A2069" w:rsidRDefault="001A2069">
      <w:pPr>
        <w:widowControl w:val="0"/>
        <w:ind w:firstLine="720"/>
        <w:jc w:val="both"/>
        <w:rPr>
          <w:color w:val="000000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none" w:sz="0" w:space="0" w:color="000000"/>
          <w:bottom w:val="none" w:sz="0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4912"/>
        <w:gridCol w:w="5465"/>
        <w:gridCol w:w="3318"/>
      </w:tblGrid>
      <w:tr w:rsidR="001A2069">
        <w:tc>
          <w:tcPr>
            <w:tcW w:w="1090" w:type="dxa"/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пп</w:t>
            </w:r>
          </w:p>
        </w:tc>
        <w:tc>
          <w:tcPr>
            <w:tcW w:w="4912" w:type="dxa"/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Задачи структурного элемента</w:t>
            </w:r>
            <w:r>
              <w:rPr>
                <w:color w:val="000000"/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5465" w:type="dxa"/>
          </w:tcPr>
          <w:p w:rsidR="001A2069" w:rsidRDefault="00F5555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318" w:type="dxa"/>
          </w:tcPr>
          <w:p w:rsidR="001A2069" w:rsidRDefault="00F5555F">
            <w:pPr>
              <w:widowControl w:val="0"/>
              <w:ind w:left="321" w:hanging="32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Связь с показателями Государственной программы</w:t>
            </w:r>
          </w:p>
        </w:tc>
      </w:tr>
    </w:tbl>
    <w:p w:rsidR="001A2069" w:rsidRDefault="001A2069">
      <w:pPr>
        <w:rPr>
          <w:color w:val="000000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4912"/>
        <w:gridCol w:w="1872"/>
        <w:gridCol w:w="38"/>
        <w:gridCol w:w="3554"/>
        <w:gridCol w:w="3318"/>
      </w:tblGrid>
      <w:tr w:rsidR="001A2069">
        <w:trPr>
          <w:tblHeader/>
        </w:trPr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912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64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18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3694" w:type="dxa"/>
            <w:gridSpan w:val="5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Региональный проект «Чистая вода»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A2069">
        <w:tc>
          <w:tcPr>
            <w:tcW w:w="1091" w:type="dxa"/>
          </w:tcPr>
          <w:p w:rsidR="001A2069" w:rsidRDefault="001A2069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22" w:type="dxa"/>
            <w:gridSpan w:val="3"/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Министерство строительства, архитектуры и жилищно-коммунального хозяйства Чувашской Республики</w:t>
            </w:r>
          </w:p>
        </w:tc>
        <w:tc>
          <w:tcPr>
            <w:tcW w:w="6872" w:type="dxa"/>
            <w:gridSpan w:val="2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2019–2035 годы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912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использованием перспективных технологий, включая технологии, разработанные организациями оборонно-промышленного комплекса</w:t>
            </w:r>
          </w:p>
        </w:tc>
        <w:tc>
          <w:tcPr>
            <w:tcW w:w="5464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увеличена доля населения Российской Федерации, обеспеченного качественной питьевой водой из систем централизованного водоснабжения; 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увеличена доля городского населения Российской Федерации, обеспеченного качественной питьевой водой из систем централизованного водоснабжения;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увеличено количество построенных и реконструированных (модернизированных) объектов питьевого водоснабжения и водоподготовки, предусмотренных региональными программами</w:t>
            </w:r>
          </w:p>
        </w:tc>
        <w:tc>
          <w:tcPr>
            <w:tcW w:w="3318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доля населения Чувашской Республики, обеспеченного качественной питьевой водой из систем централизованного водоснабжения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3694" w:type="dxa"/>
            <w:gridSpan w:val="5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Ведомственный проект «Обеспечение качества жилищно-коммунальных услуг»</w:t>
            </w:r>
          </w:p>
        </w:tc>
      </w:tr>
      <w:tr w:rsidR="001A2069">
        <w:tc>
          <w:tcPr>
            <w:tcW w:w="1091" w:type="dxa"/>
          </w:tcPr>
          <w:p w:rsidR="001A2069" w:rsidRDefault="001A2069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4" w:type="dxa"/>
            <w:gridSpan w:val="2"/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Министерство строительства, архитектуры и жилищно-коммунального хозяйства Чувашской Республики</w:t>
            </w:r>
          </w:p>
        </w:tc>
        <w:tc>
          <w:tcPr>
            <w:tcW w:w="6910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2019–2035 годы</w:t>
            </w:r>
          </w:p>
          <w:p w:rsidR="001A2069" w:rsidRDefault="001A2069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4912" w:type="dxa"/>
          </w:tcPr>
          <w:p w:rsidR="001A2069" w:rsidRDefault="00F5555F">
            <w:pPr>
              <w:widowControl w:val="0"/>
              <w:spacing w:line="247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Модернизация коммунальной инфраструктуры для сокращения будущих расходов на текущий ремонт и экономии энергоресурсов</w:t>
            </w:r>
          </w:p>
          <w:p w:rsidR="001A2069" w:rsidRDefault="001A2069">
            <w:pPr>
              <w:widowControl w:val="0"/>
              <w:spacing w:line="247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464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снижение количества прекращений подачи тепловой энергии, теплоносителя в результате технологических нарушений на тепловых сетях на 1 км сетей в результате модернизации систем коммунальной инфраструктуры </w:t>
            </w:r>
          </w:p>
        </w:tc>
        <w:tc>
          <w:tcPr>
            <w:tcW w:w="3318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количество прекращений подачи тепловой энергии, теплоносителя в результате технологических нарушений на тепловых сетях на 1 км сетей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keepNext/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4912" w:type="dxa"/>
          </w:tcPr>
          <w:p w:rsidR="001A2069" w:rsidRDefault="00F5555F">
            <w:pPr>
              <w:widowControl w:val="0"/>
              <w:spacing w:line="247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Привлечение частных инвестиций в модернизацию коммунальной инфраструктуры</w:t>
            </w:r>
          </w:p>
        </w:tc>
        <w:tc>
          <w:tcPr>
            <w:tcW w:w="5464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2023–2024 годах планируется модернизация тепловых сетей в г. Алатыре (2 проекта) и г. Шумерле </w:t>
            </w:r>
            <w:r>
              <w:rPr>
                <w:color w:val="000000"/>
                <w:sz w:val="22"/>
                <w:szCs w:val="22"/>
              </w:rPr>
              <w:br w:type="textWrapping" w:clear="all"/>
              <w:t>(4 проекта) в рамках региональной программы «Модернизация систем коммунальной инфраструктуры c привлечением средств публично-правовой компании «Фонд развития территорий», утвержденной постановлением Кабинета Министров Чувашской Республики от 24 мая 2023 г. № 355 (далее – региональная программа).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совокупности реализация мероприятий в рамках региональной программы с синхронизацией с реализующимися мероприятиями (1 и  2 заявки в Фонд по </w:t>
            </w:r>
            <w:r>
              <w:rPr>
                <w:color w:val="000000"/>
                <w:sz w:val="22"/>
                <w:szCs w:val="22"/>
              </w:rPr>
              <w:br w:type="textWrapping" w:clear="all"/>
              <w:t>г. Шумерле и г. Козловке, строительство 2 блочно-модульных котельных в г. Алатыре в рамках республиканской адресной инвестиционной программы) позволит обеспечить модернизацию системы теплоснабжения в г. Шумерле (95%), г. Козловке (95%) и г. Алатыре (40%)</w:t>
            </w:r>
          </w:p>
        </w:tc>
        <w:tc>
          <w:tcPr>
            <w:tcW w:w="3318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доля заемных средств в общем объеме капитальных вложений в системы теплоснабжения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3694" w:type="dxa"/>
            <w:gridSpan w:val="5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Ведомственный проект «Создание, развитие и обеспечение функционирования системы  автоматического сбора данных» </w:t>
            </w:r>
          </w:p>
        </w:tc>
      </w:tr>
      <w:tr w:rsidR="001A2069">
        <w:tc>
          <w:tcPr>
            <w:tcW w:w="1091" w:type="dxa"/>
          </w:tcPr>
          <w:p w:rsidR="001A2069" w:rsidRDefault="001A2069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22" w:type="dxa"/>
            <w:gridSpan w:val="3"/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Министерство строительства, архитектуры и жилищно-коммунального хозяйства Чувашской Республики</w:t>
            </w:r>
          </w:p>
        </w:tc>
        <w:tc>
          <w:tcPr>
            <w:tcW w:w="6872" w:type="dxa"/>
            <w:gridSpan w:val="2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2019–2035 годы</w:t>
            </w:r>
          </w:p>
          <w:p w:rsidR="001A2069" w:rsidRDefault="001A2069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4912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Автоматизация процессов мониторинга, регулирования и анализа функционирования объектов коммунально-инженерной инфраструктуры</w:t>
            </w:r>
          </w:p>
        </w:tc>
        <w:tc>
          <w:tcPr>
            <w:tcW w:w="5464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 за параметрами погодозависимой системы автоматического регулирования температуры в системе отопления в зависимости от наружной температуры воздуха, точный контроль соответствия температурного графика;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оптимизация отпуска тепловой энергии и экономия природного газа. При оптимизации расхода газа на 1% экономия составит от 100 до 1000 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газа в месяц в зависимости от мощности котельной, как следствие, экономия газа на обслуживаемых предприятием котельных;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организация удаленного мониторинга и контроля за аварийными ситуациями и реагирование на них в максимально короткие сроки, оптимизация работы дежурных операторов (уменьшение периодичности обхода объектов и т.д.);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 технологических процессов и возникающих потерь, своевременное выявление и устранение аварийных ситуаций. Уменьшение потерь нагретого теплоносителя при прорывах и утечках на тепловых сетях, как следствие, экономия затрат на энергоресурсы;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снижение необходимости в ручном труде, автоматизация и оптимизация процессов, соответственно оптимизация численного персонала, задействованного в организации работы по обслуживанию объектов;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повышение качества поставляемых ресурсов для населения и повышение уровня ее лояльности</w:t>
            </w:r>
          </w:p>
        </w:tc>
        <w:tc>
          <w:tcPr>
            <w:tcW w:w="3318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объектов теплоснабжения (котельных), в которых установлены приборы удаленного контроля работы оборудования, подключенные к единой автоматизированной системе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13694" w:type="dxa"/>
            <w:gridSpan w:val="5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Ведомственный проект «Водоснабжение, водоотведение и очистка сточных вод» </w:t>
            </w:r>
          </w:p>
        </w:tc>
      </w:tr>
      <w:tr w:rsidR="001A2069">
        <w:tc>
          <w:tcPr>
            <w:tcW w:w="1091" w:type="dxa"/>
          </w:tcPr>
          <w:p w:rsidR="001A2069" w:rsidRDefault="001A2069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22" w:type="dxa"/>
            <w:gridSpan w:val="3"/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Министерство строительства, архитектуры и жилищно-коммунального хозяйства Чувашской Республики</w:t>
            </w:r>
          </w:p>
        </w:tc>
        <w:tc>
          <w:tcPr>
            <w:tcW w:w="6872" w:type="dxa"/>
            <w:gridSpan w:val="2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2019–2035 годы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4912" w:type="dxa"/>
          </w:tcPr>
          <w:p w:rsidR="001A2069" w:rsidRDefault="00F5555F">
            <w:pPr>
              <w:shd w:val="clear" w:color="auto" w:fill="FFFFFF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Повышение качества питьевой воды посредством создания и модернизации систем водоснабжения</w:t>
            </w:r>
          </w:p>
        </w:tc>
        <w:tc>
          <w:tcPr>
            <w:tcW w:w="5464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 2036 году будут достигнуты следующие целевые показатели: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удельный вес проб воды из источников питьевого централизованного водоснабжения, не отвечающей гигиеническим нормативам по санитарно-химическим показателям, – 18,6 процента;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удельный вес проб воды, отбор которых произведен из водопроводной сети и которые не отвечают гигиеническим нормативам по микробиологическим показателям, – 1,1 процента;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доля уличной водопроводной сети, нуждающейся в замене, в общем протяжении водопроводной сети – 30,1 процента;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 2024 году будут достигнуты следующие целевые показатели: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доля населения Чувашской Республики, обеспеченного качественной питьевой водой из систем централизованного водоснабжения, – 89,2 процента;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доля городского населения Чувашской Республики, обеспеченного качественной питьевой водой из систем централизованного водоснабжения, – 98,5 процента;</w:t>
            </w:r>
          </w:p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построенных и реконструированных (модернизированных) объектов питьевого водоснабжения и водоподготовки, предусмотренных региональными программами, – 13 единиц нарастающим итогом</w:t>
            </w:r>
          </w:p>
        </w:tc>
        <w:tc>
          <w:tcPr>
            <w:tcW w:w="3318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созданных и (или) модернизированных источников водоснабжения (водонапорных башен и водозаборных скважин) в населенных пунктах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4912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Повышение эффективности и надежности функционирования систем водоснабжения, водоотведения и очистки сточных вод</w:t>
            </w:r>
          </w:p>
        </w:tc>
        <w:tc>
          <w:tcPr>
            <w:tcW w:w="5464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результате реализации мероприятий доля уличной канализационной сети, нуждающейся в замене, в общем протяжении канализационной сети к 2036 году составит 22,0 процента</w:t>
            </w:r>
          </w:p>
        </w:tc>
        <w:tc>
          <w:tcPr>
            <w:tcW w:w="3318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доля уличной водопроводной сети, нуждающейся в замене, в общем протяжении водопроводной сети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13694" w:type="dxa"/>
            <w:gridSpan w:val="5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Комплекс процессных мероприятий «Улучшение условий проживания граждан в многоквартирных домах»</w:t>
            </w:r>
          </w:p>
        </w:tc>
      </w:tr>
      <w:tr w:rsidR="001A2069">
        <w:tc>
          <w:tcPr>
            <w:tcW w:w="1091" w:type="dxa"/>
          </w:tcPr>
          <w:p w:rsidR="001A2069" w:rsidRDefault="001A2069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22" w:type="dxa"/>
            <w:gridSpan w:val="3"/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Министерство строительства, архитектуры и жилищно-коммунального хозяйства Чувашской Республики</w:t>
            </w:r>
          </w:p>
        </w:tc>
        <w:tc>
          <w:tcPr>
            <w:tcW w:w="6872" w:type="dxa"/>
            <w:gridSpan w:val="2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-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4912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Улучшение потребительских и эксплуатационных характеристик жилищного фонда, обеспечивающих гражданам безопасные и комфортные условия проживания</w:t>
            </w:r>
          </w:p>
        </w:tc>
        <w:tc>
          <w:tcPr>
            <w:tcW w:w="5464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многоквартирных домов, в которых проведен капитальный ремонт, – 200 домов (ежегодно)</w:t>
            </w:r>
          </w:p>
          <w:p w:rsidR="001A2069" w:rsidRDefault="001A2069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318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многоквартирных домов, в которых проведен капитальный ремонт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4912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Оказание государственной поддержки собственникам помещений (гражданам)  в многоквартирных домах при переводе с централизованного на индивидуальное отопление</w:t>
            </w:r>
          </w:p>
        </w:tc>
        <w:tc>
          <w:tcPr>
            <w:tcW w:w="5464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семей, которым оказана государственная поддержка при переводе жилого помещения в многоквартирном доме с централизованного на индиви-дуальное отопление, к 2024 году – 400</w:t>
            </w:r>
          </w:p>
        </w:tc>
        <w:tc>
          <w:tcPr>
            <w:tcW w:w="3318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семей, которым оказана государственная поддержка при переводе жилого помещения в многоквартирном доме с централизованного на индивидуальное отопление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4912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сокращения количества лифтов с истекшим сроком эксплуатации  </w:t>
            </w:r>
          </w:p>
        </w:tc>
        <w:tc>
          <w:tcPr>
            <w:tcW w:w="5464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настоящее время в Чувашской Республике 1736 лифтов с истекшим сроком эксплуатации, на замену которых требуется порядка 5 млрд. рублей. С   привлечением федеральных средств в размере 1 млрд. рублей планируется заменить не менее 300 лифтов</w:t>
            </w:r>
          </w:p>
        </w:tc>
        <w:tc>
          <w:tcPr>
            <w:tcW w:w="3318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количества замененных лифтов с истекшим сроком эксплуатации   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13694" w:type="dxa"/>
            <w:gridSpan w:val="5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Комплекс процессных мероприятий «Мероприятия по газификации, финансируемые за счет средств, полученных от </w:t>
            </w:r>
          </w:p>
          <w:p w:rsidR="001A2069" w:rsidRDefault="00F5555F">
            <w:pPr>
              <w:widowControl w:val="0"/>
              <w:spacing w:line="247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применения специальных надбавок к тарифам на транспортировку газа газораспределительными организациями»</w:t>
            </w:r>
          </w:p>
        </w:tc>
      </w:tr>
      <w:tr w:rsidR="001A2069">
        <w:tc>
          <w:tcPr>
            <w:tcW w:w="1091" w:type="dxa"/>
          </w:tcPr>
          <w:p w:rsidR="001A2069" w:rsidRDefault="001A2069">
            <w:pPr>
              <w:keepNext/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22" w:type="dxa"/>
            <w:gridSpan w:val="3"/>
          </w:tcPr>
          <w:p w:rsidR="001A2069" w:rsidRDefault="00F5555F">
            <w:pPr>
              <w:widowControl w:val="0"/>
              <w:spacing w:line="247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Министерство строительства, архитектуры и жилищно-коммунального хозяйства Чувашской Республики</w:t>
            </w:r>
          </w:p>
        </w:tc>
        <w:tc>
          <w:tcPr>
            <w:tcW w:w="6872" w:type="dxa"/>
            <w:gridSpan w:val="2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-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keepNext/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4912" w:type="dxa"/>
          </w:tcPr>
          <w:p w:rsidR="001A2069" w:rsidRDefault="00F5555F">
            <w:pPr>
              <w:keepNext/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надежности газоснабжения, реконструкция и модернизация газотранспортной системы</w:t>
            </w:r>
          </w:p>
        </w:tc>
        <w:tc>
          <w:tcPr>
            <w:tcW w:w="5464" w:type="dxa"/>
            <w:gridSpan w:val="3"/>
          </w:tcPr>
          <w:p w:rsidR="001A2069" w:rsidRDefault="00F5555F">
            <w:pPr>
              <w:keepNext/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 внутрипоселковых газопроводов</w:t>
            </w:r>
          </w:p>
        </w:tc>
        <w:tc>
          <w:tcPr>
            <w:tcW w:w="3318" w:type="dxa"/>
          </w:tcPr>
          <w:p w:rsidR="001A2069" w:rsidRDefault="00F5555F">
            <w:pPr>
              <w:keepNext/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 внутрипоселковых газопроводов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13694" w:type="dxa"/>
            <w:gridSpan w:val="5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Комплекс процессных мероприятий «Догазификация населенных пунктов Чувашской Республики» </w:t>
            </w:r>
          </w:p>
        </w:tc>
      </w:tr>
      <w:tr w:rsidR="001A2069">
        <w:tc>
          <w:tcPr>
            <w:tcW w:w="1091" w:type="dxa"/>
          </w:tcPr>
          <w:p w:rsidR="001A2069" w:rsidRDefault="001A2069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22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Министерство строительства, архитекуры и жилищно-коммунального хозяйства Чувашской Республики</w:t>
            </w:r>
          </w:p>
        </w:tc>
        <w:tc>
          <w:tcPr>
            <w:tcW w:w="6872" w:type="dxa"/>
            <w:gridSpan w:val="2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-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4912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Повышение надежности функционирования газотранспортной системы населенных пунктов Чувашской Республики</w:t>
            </w:r>
          </w:p>
        </w:tc>
        <w:tc>
          <w:tcPr>
            <w:tcW w:w="5464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 2024 году будет догазифицироавано 7731 домовладение (до границ земельного участка домовладений) </w:t>
            </w:r>
          </w:p>
        </w:tc>
        <w:tc>
          <w:tcPr>
            <w:tcW w:w="3318" w:type="dxa"/>
          </w:tcPr>
          <w:p w:rsidR="001A2069" w:rsidRDefault="00F5555F">
            <w:pPr>
              <w:widowControl w:val="0"/>
              <w:spacing w:line="247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догазификация домовладений (до границ земельного участка домовладений)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13694" w:type="dxa"/>
            <w:gridSpan w:val="5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Комплекс процессных мероприятий  «Регистрация в установленном порядке органами местного самоуправления </w:t>
            </w:r>
          </w:p>
          <w:p w:rsidR="001A2069" w:rsidRDefault="00F5555F">
            <w:pPr>
              <w:widowControl w:val="0"/>
              <w:spacing w:line="247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 газораспределительной организацией права собственности на недвижимые объекты газораспределения, являющиеся бесхозяйными»</w:t>
            </w:r>
          </w:p>
        </w:tc>
      </w:tr>
      <w:tr w:rsidR="001A2069">
        <w:tc>
          <w:tcPr>
            <w:tcW w:w="1091" w:type="dxa"/>
          </w:tcPr>
          <w:p w:rsidR="001A2069" w:rsidRDefault="001A2069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22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Министерство строительства, архитекуры и жилищно-коммунального хозяйства Чувашской Республики</w:t>
            </w:r>
          </w:p>
        </w:tc>
        <w:tc>
          <w:tcPr>
            <w:tcW w:w="6872" w:type="dxa"/>
            <w:gridSpan w:val="2"/>
          </w:tcPr>
          <w:p w:rsidR="001A2069" w:rsidRDefault="00F5555F">
            <w:pPr>
              <w:widowControl w:val="0"/>
              <w:spacing w:line="247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-</w:t>
            </w:r>
          </w:p>
        </w:tc>
      </w:tr>
      <w:tr w:rsidR="001A2069">
        <w:tc>
          <w:tcPr>
            <w:tcW w:w="1091" w:type="dxa"/>
          </w:tcPr>
          <w:p w:rsidR="001A2069" w:rsidRDefault="00F5555F">
            <w:pPr>
              <w:widowControl w:val="0"/>
              <w:spacing w:line="247" w:lineRule="auto"/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4912" w:type="dxa"/>
          </w:tcPr>
          <w:p w:rsidR="001A2069" w:rsidRDefault="00F5555F">
            <w:pPr>
              <w:widowControl w:val="0"/>
              <w:spacing w:line="247" w:lineRule="auto"/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Повышение надежности функционирования и эксплуатации газотранспортной системы в населенных пунктах Чувашской Республики</w:t>
            </w:r>
          </w:p>
        </w:tc>
        <w:tc>
          <w:tcPr>
            <w:tcW w:w="5464" w:type="dxa"/>
            <w:gridSpan w:val="3"/>
          </w:tcPr>
          <w:p w:rsidR="001A2069" w:rsidRDefault="00F5555F">
            <w:pPr>
              <w:widowControl w:val="0"/>
              <w:spacing w:line="247" w:lineRule="auto"/>
              <w:jc w:val="both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оформление в собственность объектов газораспределения, являющихся бесхозяйными (к 2030 году – 264 ед.)</w:t>
            </w:r>
          </w:p>
        </w:tc>
        <w:tc>
          <w:tcPr>
            <w:tcW w:w="3318" w:type="dxa"/>
          </w:tcPr>
          <w:p w:rsidR="001A2069" w:rsidRDefault="00F5555F">
            <w:pPr>
              <w:widowControl w:val="0"/>
              <w:spacing w:line="247" w:lineRule="auto"/>
              <w:jc w:val="center"/>
              <w:outlineLv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оформление в собственность объектов газораспределения, являющихся бесхозяйными</w:t>
            </w:r>
          </w:p>
        </w:tc>
      </w:tr>
    </w:tbl>
    <w:p w:rsidR="001A2069" w:rsidRDefault="001A2069">
      <w:pPr>
        <w:widowControl w:val="0"/>
        <w:outlineLvl w:val="0"/>
        <w:rPr>
          <w:b/>
          <w:color w:val="000000"/>
          <w:sz w:val="26"/>
          <w:szCs w:val="26"/>
        </w:rPr>
      </w:pPr>
    </w:p>
    <w:p w:rsidR="001A2069" w:rsidRDefault="00F5555F">
      <w:pPr>
        <w:widowControl w:val="0"/>
        <w:numPr>
          <w:ilvl w:val="0"/>
          <w:numId w:val="2"/>
        </w:numPr>
        <w:ind w:firstLine="22"/>
        <w:jc w:val="center"/>
        <w:outlineLvl w:val="0"/>
        <w:rPr>
          <w:b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4. Финансовое обеспечение Государственной программы</w:t>
      </w:r>
    </w:p>
    <w:p w:rsidR="001A2069" w:rsidRDefault="001A2069">
      <w:pPr>
        <w:widowControl w:val="0"/>
        <w:numPr>
          <w:ilvl w:val="0"/>
          <w:numId w:val="2"/>
        </w:numPr>
        <w:ind w:firstLine="22"/>
        <w:jc w:val="center"/>
        <w:outlineLvl w:val="0"/>
        <w:rPr>
          <w:b/>
          <w:color w:val="000000"/>
          <w:sz w:val="20"/>
          <w:szCs w:val="20"/>
        </w:rPr>
      </w:pPr>
    </w:p>
    <w:p w:rsidR="001A2069" w:rsidRDefault="001A2069">
      <w:pPr>
        <w:widowControl w:val="0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1A2069" w:rsidRDefault="001A2069">
      <w:pPr>
        <w:widowControl w:val="0"/>
        <w:numPr>
          <w:ilvl w:val="0"/>
          <w:numId w:val="5"/>
        </w:numPr>
        <w:ind w:firstLine="22"/>
        <w:jc w:val="center"/>
        <w:outlineLvl w:val="0"/>
        <w:rPr>
          <w:b/>
          <w:color w:val="000000"/>
          <w:sz w:val="20"/>
          <w:szCs w:val="20"/>
          <w:highlight w:val="white"/>
        </w:rPr>
      </w:pPr>
    </w:p>
    <w:tbl>
      <w:tblPr>
        <w:tblW w:w="15134" w:type="dxa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9"/>
        <w:gridCol w:w="1431"/>
        <w:gridCol w:w="1261"/>
        <w:gridCol w:w="1236"/>
        <w:gridCol w:w="1134"/>
        <w:gridCol w:w="1406"/>
        <w:gridCol w:w="1683"/>
        <w:gridCol w:w="1694"/>
      </w:tblGrid>
      <w:tr w:rsidR="001A2069">
        <w:trPr>
          <w:trHeight w:val="20"/>
        </w:trPr>
        <w:tc>
          <w:tcPr>
            <w:tcW w:w="5289" w:type="dxa"/>
            <w:vMerge w:val="restart"/>
            <w:tcBorders>
              <w:bottom w:val="none" w:sz="4" w:space="0" w:color="000000"/>
            </w:tcBorders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9845" w:type="dxa"/>
            <w:gridSpan w:val="7"/>
            <w:tcBorders>
              <w:bottom w:val="single" w:sz="4" w:space="0" w:color="000000"/>
            </w:tcBorders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Объем финансового обеспечения по годам реализации, тыс. рублей</w:t>
            </w:r>
          </w:p>
        </w:tc>
      </w:tr>
      <w:tr w:rsidR="001A2069">
        <w:trPr>
          <w:trHeight w:val="20"/>
        </w:trPr>
        <w:tc>
          <w:tcPr>
            <w:tcW w:w="5289" w:type="dxa"/>
            <w:vMerge/>
            <w:tcBorders>
              <w:bottom w:val="none" w:sz="4" w:space="0" w:color="000000"/>
            </w:tcBorders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outlineLvl w:val="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none" w:sz="4" w:space="0" w:color="000000"/>
            </w:tcBorders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2019–2023</w:t>
            </w:r>
          </w:p>
        </w:tc>
        <w:tc>
          <w:tcPr>
            <w:tcW w:w="1261" w:type="dxa"/>
            <w:tcBorders>
              <w:bottom w:val="none" w:sz="4" w:space="0" w:color="000000"/>
            </w:tcBorders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2024</w:t>
            </w:r>
          </w:p>
        </w:tc>
        <w:tc>
          <w:tcPr>
            <w:tcW w:w="1236" w:type="dxa"/>
            <w:tcBorders>
              <w:bottom w:val="none" w:sz="4" w:space="0" w:color="000000"/>
            </w:tcBorders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2025</w:t>
            </w:r>
          </w:p>
        </w:tc>
        <w:tc>
          <w:tcPr>
            <w:tcW w:w="1134" w:type="dxa"/>
            <w:tcBorders>
              <w:bottom w:val="none" w:sz="4" w:space="0" w:color="000000"/>
            </w:tcBorders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2026</w:t>
            </w:r>
          </w:p>
        </w:tc>
        <w:tc>
          <w:tcPr>
            <w:tcW w:w="1406" w:type="dxa"/>
            <w:tcBorders>
              <w:bottom w:val="none" w:sz="4" w:space="0" w:color="000000"/>
            </w:tcBorders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2027</w:t>
            </w:r>
          </w:p>
        </w:tc>
        <w:tc>
          <w:tcPr>
            <w:tcW w:w="1683" w:type="dxa"/>
            <w:tcBorders>
              <w:bottom w:val="none" w:sz="4" w:space="0" w:color="000000"/>
            </w:tcBorders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2028–2035</w:t>
            </w:r>
          </w:p>
        </w:tc>
        <w:tc>
          <w:tcPr>
            <w:tcW w:w="1694" w:type="dxa"/>
            <w:tcBorders>
              <w:bottom w:val="none" w:sz="4" w:space="0" w:color="000000"/>
            </w:tcBorders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всего</w:t>
            </w:r>
          </w:p>
        </w:tc>
      </w:tr>
    </w:tbl>
    <w:p w:rsidR="001A2069" w:rsidRDefault="001A2069">
      <w:pPr>
        <w:rPr>
          <w:sz w:val="2"/>
          <w:szCs w:val="2"/>
          <w:highlight w:val="white"/>
        </w:rPr>
      </w:pPr>
    </w:p>
    <w:tbl>
      <w:tblPr>
        <w:tblW w:w="15134" w:type="dxa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89"/>
        <w:gridCol w:w="1431"/>
        <w:gridCol w:w="1261"/>
        <w:gridCol w:w="1236"/>
        <w:gridCol w:w="1096"/>
        <w:gridCol w:w="1444"/>
        <w:gridCol w:w="1683"/>
        <w:gridCol w:w="1694"/>
      </w:tblGrid>
      <w:tr w:rsidR="001A2069">
        <w:trPr>
          <w:tblHeader/>
        </w:trPr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1</w:t>
            </w:r>
          </w:p>
        </w:tc>
        <w:tc>
          <w:tcPr>
            <w:tcW w:w="143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2</w:t>
            </w: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3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4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5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6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7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8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Государственная программа «Модернизация и развитие сферы жилищно-коммунального хозяйства», всего</w:t>
            </w:r>
          </w:p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ab/>
            </w: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в том числе:</w:t>
            </w:r>
          </w:p>
        </w:tc>
        <w:tc>
          <w:tcPr>
            <w:tcW w:w="143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10892295,70</w:t>
            </w: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5367476,4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3512828,0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1495213,9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b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1186970,7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b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22454784,7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федеральный бюджет</w:t>
            </w:r>
          </w:p>
        </w:tc>
        <w:tc>
          <w:tcPr>
            <w:tcW w:w="143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2364220,40</w:t>
            </w: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2407560,8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4 771781,2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республиканский бюджет Чувашской Республики</w:t>
            </w:r>
          </w:p>
        </w:tc>
        <w:tc>
          <w:tcPr>
            <w:tcW w:w="143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6048306,1</w:t>
            </w: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ind w:left="-57" w:right="-57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2576084,1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3208173,8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1344719,9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1186970,7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14364254,6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местные бюджеты</w:t>
            </w:r>
          </w:p>
        </w:tc>
        <w:tc>
          <w:tcPr>
            <w:tcW w:w="143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259972,1</w:t>
            </w: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76 266,62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69160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405398,7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бюджеты территориальных государственных внебюджетных фондов</w:t>
            </w:r>
          </w:p>
        </w:tc>
        <w:tc>
          <w:tcPr>
            <w:tcW w:w="1431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61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</w:tr>
      <w:tr w:rsidR="001A2069">
        <w:tc>
          <w:tcPr>
            <w:tcW w:w="5289" w:type="dxa"/>
            <w:tcBorders>
              <w:bottom w:val="single" w:sz="4" w:space="0" w:color="000000"/>
            </w:tcBorders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внебюджетные источники</w:t>
            </w:r>
          </w:p>
        </w:tc>
        <w:tc>
          <w:tcPr>
            <w:tcW w:w="143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2219797,1</w:t>
            </w: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307449,92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230135,76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150494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2 913350,2</w:t>
            </w:r>
          </w:p>
        </w:tc>
      </w:tr>
      <w:tr w:rsidR="001A2069">
        <w:tc>
          <w:tcPr>
            <w:tcW w:w="5289" w:type="dxa"/>
            <w:tcBorders>
              <w:left w:val="none" w:sz="4" w:space="0" w:color="000000"/>
              <w:bottom w:val="none" w:sz="4" w:space="0" w:color="000000"/>
            </w:tcBorders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Региональный проект «Чистая вода», всего</w:t>
            </w:r>
          </w:p>
        </w:tc>
        <w:tc>
          <w:tcPr>
            <w:tcW w:w="1431" w:type="dxa"/>
            <w:vMerge w:val="restart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304192,9</w:t>
            </w:r>
          </w:p>
        </w:tc>
        <w:tc>
          <w:tcPr>
            <w:tcW w:w="1236" w:type="dxa"/>
            <w:vMerge w:val="restart"/>
          </w:tcPr>
          <w:p w:rsidR="001A2069" w:rsidRDefault="00F5555F">
            <w:pPr>
              <w:spacing w:line="230" w:lineRule="auto"/>
              <w:jc w:val="center"/>
              <w:rPr>
                <w:b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  <w:vMerge w:val="restart"/>
          </w:tcPr>
          <w:p w:rsidR="001A2069" w:rsidRDefault="00F5555F">
            <w:pPr>
              <w:spacing w:line="230" w:lineRule="auto"/>
              <w:jc w:val="center"/>
              <w:rPr>
                <w:b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  <w:vMerge w:val="restart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  <w:vMerge w:val="restart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304192,9</w:t>
            </w:r>
          </w:p>
        </w:tc>
      </w:tr>
      <w:tr w:rsidR="001A2069">
        <w:tc>
          <w:tcPr>
            <w:tcW w:w="5289" w:type="dxa"/>
            <w:tcBorders>
              <w:top w:val="none" w:sz="4" w:space="0" w:color="000000"/>
            </w:tcBorders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ab/>
              <w:t>в том числе:</w:t>
            </w:r>
          </w:p>
        </w:tc>
        <w:tc>
          <w:tcPr>
            <w:tcW w:w="1431" w:type="dxa"/>
            <w:vMerge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vMerge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  <w:vMerge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vMerge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vMerge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</w:rPr>
            </w:pP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федеральный бюджет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294 160,8</w:t>
            </w:r>
          </w:p>
        </w:tc>
        <w:tc>
          <w:tcPr>
            <w:tcW w:w="123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294160,8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республиканский бюджет Чувашской Республики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10 032,10</w:t>
            </w:r>
          </w:p>
        </w:tc>
        <w:tc>
          <w:tcPr>
            <w:tcW w:w="123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10032,1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местные бюджеты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бюджеты территориальных государственных внебюджетных фондов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внебюджетные источники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Ведомственный  проект «Обеспечение качества жилищно-коммунальных услуг», всего</w:t>
            </w:r>
          </w:p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ab/>
            </w: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в том числе: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1916649,0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553566,1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127925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14359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2612499,1</w:t>
            </w:r>
          </w:p>
        </w:tc>
      </w:tr>
      <w:tr w:rsidR="001A2069">
        <w:trPr>
          <w:trHeight w:val="148"/>
        </w:trPr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федеральный бюджет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614 400,0</w:t>
            </w:r>
          </w:p>
        </w:tc>
        <w:tc>
          <w:tcPr>
            <w:tcW w:w="123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614400,0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республиканский бюджет Чувашской Республики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1289519,0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540871,1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14359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14359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1859108,1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местные бюджеты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бюджеты территориальных государственных внебюджетных фондов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keepNext/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внебюджетные источники</w:t>
            </w:r>
          </w:p>
        </w:tc>
        <w:tc>
          <w:tcPr>
            <w:tcW w:w="1431" w:type="dxa"/>
          </w:tcPr>
          <w:p w:rsidR="001A2069" w:rsidRDefault="001A2069">
            <w:pPr>
              <w:keepNext/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keepNext/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12730</w:t>
            </w:r>
          </w:p>
        </w:tc>
        <w:tc>
          <w:tcPr>
            <w:tcW w:w="1236" w:type="dxa"/>
          </w:tcPr>
          <w:p w:rsidR="001A2069" w:rsidRDefault="00F5555F">
            <w:pPr>
              <w:keepNext/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12695</w:t>
            </w:r>
          </w:p>
        </w:tc>
        <w:tc>
          <w:tcPr>
            <w:tcW w:w="1096" w:type="dxa"/>
          </w:tcPr>
          <w:p w:rsidR="001A2069" w:rsidRDefault="00F5555F">
            <w:pPr>
              <w:keepNext/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113566</w:t>
            </w:r>
          </w:p>
        </w:tc>
        <w:tc>
          <w:tcPr>
            <w:tcW w:w="1444" w:type="dxa"/>
          </w:tcPr>
          <w:p w:rsidR="001A2069" w:rsidRDefault="00F5555F">
            <w:pPr>
              <w:keepNext/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keepNext/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keepNext/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138991</w:t>
            </w:r>
          </w:p>
        </w:tc>
      </w:tr>
      <w:tr w:rsidR="001A2069">
        <w:trPr>
          <w:trHeight w:val="253"/>
        </w:trPr>
        <w:tc>
          <w:tcPr>
            <w:tcW w:w="5289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Ведомственный проект «Создание, развитие и обеспечение функционирования системы  автоматического сбора данных», всего</w:t>
            </w:r>
          </w:p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ab/>
              <w:t>в том числе:</w:t>
            </w:r>
          </w:p>
        </w:tc>
        <w:tc>
          <w:tcPr>
            <w:tcW w:w="1431" w:type="dxa"/>
            <w:vMerge w:val="restart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6696,0</w:t>
            </w:r>
          </w:p>
        </w:tc>
        <w:tc>
          <w:tcPr>
            <w:tcW w:w="123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6696,0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федеральный бюджет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0,0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республиканский бюджет Чувашской Республики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6696,0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6696,0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местные бюджеты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бюджеты территориальных государственных внебюджетных фондов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внебюджетные источники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</w:tr>
      <w:tr w:rsidR="001A2069">
        <w:trPr>
          <w:trHeight w:val="253"/>
        </w:trPr>
        <w:tc>
          <w:tcPr>
            <w:tcW w:w="5289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Ведомственный проект «Водоснабжение, водоотведение и очистка сточных вод», всего</w:t>
            </w:r>
          </w:p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ab/>
            </w: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в том числе:</w:t>
            </w:r>
          </w:p>
        </w:tc>
        <w:tc>
          <w:tcPr>
            <w:tcW w:w="1431" w:type="dxa"/>
            <w:vMerge w:val="restart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528453,92</w:t>
            </w:r>
          </w:p>
        </w:tc>
        <w:tc>
          <w:tcPr>
            <w:tcW w:w="123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2488301,1</w:t>
            </w:r>
          </w:p>
        </w:tc>
        <w:tc>
          <w:tcPr>
            <w:tcW w:w="109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6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1152761,2</w:t>
            </w:r>
          </w:p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44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1093812</w:t>
            </w:r>
          </w:p>
        </w:tc>
        <w:tc>
          <w:tcPr>
            <w:tcW w:w="1683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5263328,22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федеральный бюджет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республиканский бюджет Чувашской Республики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521560,2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2488301,1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1152761,2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1093812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5256434,5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местные бюджеты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6893,72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6893,72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бюджеты территориальных государственных внебюджетных фондов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-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внебюджетные источники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-</w:t>
            </w:r>
          </w:p>
        </w:tc>
      </w:tr>
      <w:tr w:rsidR="001A2069">
        <w:trPr>
          <w:trHeight w:val="896"/>
        </w:trPr>
        <w:tc>
          <w:tcPr>
            <w:tcW w:w="5289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Комплекс процессных мероприятий «Улучшение условий проживания граждан в многоквартирных домах», всего</w:t>
            </w:r>
          </w:p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ab/>
              <w:t>в том числе:</w:t>
            </w:r>
          </w:p>
        </w:tc>
        <w:tc>
          <w:tcPr>
            <w:tcW w:w="1431" w:type="dxa"/>
            <w:vMerge w:val="restart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2346381</w:t>
            </w:r>
          </w:p>
        </w:tc>
        <w:tc>
          <w:tcPr>
            <w:tcW w:w="123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253981,9</w:t>
            </w:r>
          </w:p>
        </w:tc>
        <w:tc>
          <w:tcPr>
            <w:tcW w:w="109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177599,7</w:t>
            </w:r>
          </w:p>
        </w:tc>
        <w:tc>
          <w:tcPr>
            <w:tcW w:w="144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8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78799,7</w:t>
            </w:r>
          </w:p>
          <w:p w:rsidR="001A2069" w:rsidRDefault="001A2069">
            <w:pPr>
              <w:widowControl w:val="0"/>
              <w:numPr>
                <w:ilvl w:val="0"/>
                <w:numId w:val="7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2880582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федеральный бюджет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1499000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1499000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республиканский бюджет Чувашской Республики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  <w:noWrap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748276,8</w:t>
            </w:r>
          </w:p>
        </w:tc>
        <w:tc>
          <w:tcPr>
            <w:tcW w:w="1236" w:type="dxa"/>
            <w:noWrap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179001,6</w:t>
            </w:r>
          </w:p>
        </w:tc>
        <w:tc>
          <w:tcPr>
            <w:tcW w:w="1096" w:type="dxa"/>
            <w:noWrap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177599,7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78799,7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1183677,8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местные бюджеты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  <w:noWrap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69372,9</w:t>
            </w:r>
          </w:p>
        </w:tc>
        <w:tc>
          <w:tcPr>
            <w:tcW w:w="1236" w:type="dxa"/>
            <w:noWrap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69160</w:t>
            </w:r>
          </w:p>
        </w:tc>
        <w:tc>
          <w:tcPr>
            <w:tcW w:w="1096" w:type="dxa"/>
            <w:noWrap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138532,9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бюджеты территориальных государственных внебюджетных фондов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  <w:noWrap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  <w:noWrap/>
          </w:tcPr>
          <w:p w:rsidR="001A2069" w:rsidRDefault="00F5555F">
            <w:pPr>
              <w:spacing w:line="230" w:lineRule="auto"/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  <w:noWrap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внебюджетные источники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  <w:noWrap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29731,3</w:t>
            </w:r>
          </w:p>
        </w:tc>
        <w:tc>
          <w:tcPr>
            <w:tcW w:w="1236" w:type="dxa"/>
            <w:noWrap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29640</w:t>
            </w:r>
          </w:p>
        </w:tc>
        <w:tc>
          <w:tcPr>
            <w:tcW w:w="1096" w:type="dxa"/>
            <w:noWrap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59371,3</w:t>
            </w:r>
          </w:p>
        </w:tc>
      </w:tr>
      <w:tr w:rsidR="001A2069">
        <w:trPr>
          <w:trHeight w:val="253"/>
        </w:trPr>
        <w:tc>
          <w:tcPr>
            <w:tcW w:w="5289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Комплекс процессных мероприятий «Мероприятия по газификации, финансируемые за счет средств, полученных от применения специальных надбавок к тарифам на транспортировку газа газораспределительными организациями», всего</w:t>
            </w:r>
          </w:p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ab/>
            </w: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в том числе:</w:t>
            </w:r>
          </w:p>
        </w:tc>
        <w:tc>
          <w:tcPr>
            <w:tcW w:w="1431" w:type="dxa"/>
            <w:vMerge w:val="restart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38710,38</w:t>
            </w:r>
          </w:p>
        </w:tc>
        <w:tc>
          <w:tcPr>
            <w:tcW w:w="123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187250,76</w:t>
            </w:r>
          </w:p>
        </w:tc>
        <w:tc>
          <w:tcPr>
            <w:tcW w:w="109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42350,01</w:t>
            </w:r>
          </w:p>
        </w:tc>
        <w:tc>
          <w:tcPr>
            <w:tcW w:w="1444" w:type="dxa"/>
            <w:vMerge w:val="restart"/>
          </w:tcPr>
          <w:p w:rsidR="001A2069" w:rsidRDefault="00F5555F">
            <w:pPr>
              <w:spacing w:line="230" w:lineRule="auto"/>
              <w:jc w:val="center"/>
              <w:rPr>
                <w:b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  <w:vMerge w:val="restart"/>
          </w:tcPr>
          <w:p w:rsidR="001A2069" w:rsidRDefault="00F5555F">
            <w:pPr>
              <w:spacing w:line="230" w:lineRule="auto"/>
              <w:jc w:val="center"/>
              <w:rPr>
                <w:b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spacing w:line="230" w:lineRule="auto"/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2</w:t>
            </w:r>
            <w:r>
              <w:rPr>
                <w:rFonts w:eastAsia="Calibri"/>
                <w:b/>
                <w:color w:val="000000"/>
                <w:sz w:val="22"/>
                <w:szCs w:val="22"/>
              </w:rPr>
              <w:t>268311,146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федеральный бюджет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республиканский бюджет Чувашской Республики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местные бюджеты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бюджеты территориальных государственных внебюджетных фондов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236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096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444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</w:tr>
      <w:tr w:rsidR="001A2069">
        <w:trPr>
          <w:trHeight w:val="253"/>
        </w:trPr>
        <w:tc>
          <w:tcPr>
            <w:tcW w:w="5289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внебюджетные источники</w:t>
            </w:r>
          </w:p>
        </w:tc>
        <w:tc>
          <w:tcPr>
            <w:tcW w:w="1431" w:type="dxa"/>
            <w:vMerge w:val="restart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38710,38</w:t>
            </w:r>
          </w:p>
        </w:tc>
        <w:tc>
          <w:tcPr>
            <w:tcW w:w="123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187250,76</w:t>
            </w:r>
          </w:p>
        </w:tc>
        <w:tc>
          <w:tcPr>
            <w:tcW w:w="109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42350,01</w:t>
            </w:r>
          </w:p>
        </w:tc>
        <w:tc>
          <w:tcPr>
            <w:tcW w:w="1444" w:type="dxa"/>
            <w:vMerge w:val="restart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83" w:type="dxa"/>
            <w:vMerge w:val="restart"/>
          </w:tcPr>
          <w:p w:rsidR="001A2069" w:rsidRDefault="00F5555F">
            <w:pPr>
              <w:jc w:val="center"/>
              <w:rPr>
                <w:highlight w:val="white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0,0</w:t>
            </w:r>
          </w:p>
        </w:tc>
        <w:tc>
          <w:tcPr>
            <w:tcW w:w="169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268311,146</w:t>
            </w:r>
          </w:p>
        </w:tc>
      </w:tr>
      <w:tr w:rsidR="001A2069">
        <w:trPr>
          <w:trHeight w:val="253"/>
        </w:trPr>
        <w:tc>
          <w:tcPr>
            <w:tcW w:w="5289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Комплекс процессных мероприятий «Регистрация в установленном порядке органами местного самоуправления и газораспределительной организацией права собственности на недвижимые объекты газораспределения, являющиеся бесхозяйными», всего</w:t>
            </w:r>
          </w:p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ab/>
            </w: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в том числе:</w:t>
            </w:r>
          </w:p>
        </w:tc>
        <w:tc>
          <w:tcPr>
            <w:tcW w:w="1431" w:type="dxa"/>
            <w:vMerge w:val="restart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550</w:t>
            </w:r>
          </w:p>
        </w:tc>
        <w:tc>
          <w:tcPr>
            <w:tcW w:w="123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550</w:t>
            </w:r>
          </w:p>
        </w:tc>
        <w:tc>
          <w:tcPr>
            <w:tcW w:w="109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3608</w:t>
            </w:r>
          </w:p>
        </w:tc>
        <w:tc>
          <w:tcPr>
            <w:tcW w:w="144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4708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федеральный бюджет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республиканский бюджет Чувашской Республики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местные бюджеты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бюджеты территориальных государственных внебюджетных фондов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44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</w:tr>
      <w:tr w:rsidR="001A2069">
        <w:trPr>
          <w:trHeight w:val="253"/>
        </w:trPr>
        <w:tc>
          <w:tcPr>
            <w:tcW w:w="5289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внебюджетные источники</w:t>
            </w:r>
          </w:p>
        </w:tc>
        <w:tc>
          <w:tcPr>
            <w:tcW w:w="1431" w:type="dxa"/>
            <w:vMerge w:val="restart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550</w:t>
            </w:r>
          </w:p>
        </w:tc>
        <w:tc>
          <w:tcPr>
            <w:tcW w:w="123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550</w:t>
            </w:r>
          </w:p>
        </w:tc>
        <w:tc>
          <w:tcPr>
            <w:tcW w:w="1096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3608</w:t>
            </w:r>
          </w:p>
        </w:tc>
        <w:tc>
          <w:tcPr>
            <w:tcW w:w="144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83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-</w:t>
            </w:r>
          </w:p>
        </w:tc>
        <w:tc>
          <w:tcPr>
            <w:tcW w:w="1694" w:type="dxa"/>
            <w:vMerge w:val="restart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4708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>Комплекс процессных мероприятий «Догазификация населенных пунктов Чувашской Республики», всего</w:t>
            </w:r>
          </w:p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highlight w:val="white"/>
              </w:rPr>
              <w:tab/>
            </w:r>
            <w:r>
              <w:rPr>
                <w:rFonts w:eastAsia="Calibri"/>
                <w:bCs/>
                <w:color w:val="000000"/>
                <w:sz w:val="22"/>
                <w:szCs w:val="22"/>
                <w:highlight w:val="white"/>
              </w:rPr>
              <w:t>в том числе: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highlight w:val="white"/>
              </w:rPr>
              <w:t>225728,24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10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96946,09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10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42140,5</w:t>
            </w:r>
          </w:p>
        </w:tc>
        <w:tc>
          <w:tcPr>
            <w:tcW w:w="1444" w:type="dxa"/>
          </w:tcPr>
          <w:p w:rsidR="001A2069" w:rsidRDefault="001A2069">
            <w:pPr>
              <w:widowControl w:val="0"/>
              <w:numPr>
                <w:ilvl w:val="0"/>
                <w:numId w:val="10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683" w:type="dxa"/>
          </w:tcPr>
          <w:p w:rsidR="001A2069" w:rsidRDefault="001A2069">
            <w:pPr>
              <w:widowControl w:val="0"/>
              <w:numPr>
                <w:ilvl w:val="0"/>
                <w:numId w:val="10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10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364814,83</w:t>
            </w: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федеральный бюджет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36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096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44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683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69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республиканский бюджет Чувашской Республики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36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096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44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683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69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местные бюджеты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36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096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44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683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69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</w:tr>
      <w:tr w:rsidR="001A2069">
        <w:trPr>
          <w:trHeight w:val="711"/>
        </w:trPr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бюджеты территориальных государственных внебюджетных фондов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36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096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44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683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69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</w:tr>
      <w:tr w:rsidR="001A2069">
        <w:tc>
          <w:tcPr>
            <w:tcW w:w="5289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both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внебюджетные источники</w:t>
            </w:r>
          </w:p>
        </w:tc>
        <w:tc>
          <w:tcPr>
            <w:tcW w:w="1431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261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  <w:highlight w:val="white"/>
              </w:rPr>
              <w:t>225728,24</w:t>
            </w:r>
          </w:p>
        </w:tc>
        <w:tc>
          <w:tcPr>
            <w:tcW w:w="123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96946,09</w:t>
            </w:r>
          </w:p>
        </w:tc>
        <w:tc>
          <w:tcPr>
            <w:tcW w:w="1096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42140,5</w:t>
            </w:r>
          </w:p>
        </w:tc>
        <w:tc>
          <w:tcPr>
            <w:tcW w:w="1444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683" w:type="dxa"/>
          </w:tcPr>
          <w:p w:rsidR="001A2069" w:rsidRDefault="001A2069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1694" w:type="dxa"/>
          </w:tcPr>
          <w:p w:rsidR="001A2069" w:rsidRDefault="00F5555F">
            <w:pPr>
              <w:widowControl w:val="0"/>
              <w:numPr>
                <w:ilvl w:val="0"/>
                <w:numId w:val="5"/>
              </w:numPr>
              <w:jc w:val="center"/>
              <w:outlineLvl w:val="0"/>
              <w:rPr>
                <w:rFonts w:eastAsia="Calibri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364814,83</w:t>
            </w:r>
          </w:p>
        </w:tc>
      </w:tr>
    </w:tbl>
    <w:p w:rsidR="001A2069" w:rsidRDefault="001A2069" w:rsidP="00282C7A">
      <w:pPr>
        <w:widowControl w:val="0"/>
        <w:spacing w:line="230" w:lineRule="auto"/>
        <w:jc w:val="center"/>
        <w:outlineLvl w:val="0"/>
      </w:pPr>
    </w:p>
    <w:sectPr w:rsidR="001A2069" w:rsidSect="00D62172">
      <w:headerReference w:type="default" r:id="rId9"/>
      <w:pgSz w:w="16837" w:h="11905" w:orient="landscape"/>
      <w:pgMar w:top="1418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64F" w:rsidRDefault="0031064F">
      <w:r>
        <w:separator/>
      </w:r>
    </w:p>
  </w:endnote>
  <w:endnote w:type="continuationSeparator" w:id="0">
    <w:p w:rsidR="0031064F" w:rsidRDefault="0031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64F" w:rsidRDefault="0031064F">
      <w:r>
        <w:separator/>
      </w:r>
    </w:p>
  </w:footnote>
  <w:footnote w:type="continuationSeparator" w:id="0">
    <w:p w:rsidR="0031064F" w:rsidRDefault="0031064F">
      <w:r>
        <w:continuationSeparator/>
      </w:r>
    </w:p>
  </w:footnote>
  <w:footnote w:id="1">
    <w:p w:rsidR="001A2069" w:rsidRDefault="00F5555F">
      <w:pPr>
        <w:pStyle w:val="af3"/>
      </w:pPr>
      <w:r>
        <w:rPr>
          <w:rStyle w:val="42"/>
        </w:rPr>
        <w:footnoteRef/>
      </w:r>
      <w:r>
        <w:t xml:space="preserve"> Указывается уровень соответствия декомпозированного до Чувашской Республики показателя для государственной программы Чувашской Республики: «ГП» (государственной программы Чувашской Республики).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69" w:rsidRDefault="00F5555F">
    <w:pPr>
      <w:pStyle w:val="ac"/>
      <w:framePr w:wrap="around" w:vAnchor="text" w:hAnchor="margin" w:xAlign="center" w:y="1"/>
      <w:rPr>
        <w:rStyle w:val="52"/>
        <w:rFonts w:ascii="Times New Roman" w:hAnsi="Times New Roman"/>
      </w:rPr>
    </w:pPr>
    <w:r>
      <w:rPr>
        <w:rStyle w:val="52"/>
        <w:rFonts w:ascii="Times New Roman" w:hAnsi="Times New Roman"/>
      </w:rPr>
      <w:fldChar w:fldCharType="begin"/>
    </w:r>
    <w:r>
      <w:rPr>
        <w:rStyle w:val="52"/>
        <w:rFonts w:ascii="Times New Roman" w:hAnsi="Times New Roman"/>
      </w:rPr>
      <w:instrText xml:space="preserve">PAGE  </w:instrText>
    </w:r>
    <w:r>
      <w:rPr>
        <w:rStyle w:val="52"/>
        <w:rFonts w:ascii="Times New Roman" w:hAnsi="Times New Roman"/>
      </w:rPr>
      <w:fldChar w:fldCharType="separate"/>
    </w:r>
    <w:r w:rsidR="00863F97">
      <w:rPr>
        <w:rStyle w:val="52"/>
        <w:rFonts w:ascii="Times New Roman" w:hAnsi="Times New Roman"/>
        <w:noProof/>
      </w:rPr>
      <w:t>2</w:t>
    </w:r>
    <w:r>
      <w:rPr>
        <w:rStyle w:val="52"/>
        <w:rFonts w:ascii="Times New Roman" w:hAnsi="Times New Roman"/>
      </w:rPr>
      <w:fldChar w:fldCharType="end"/>
    </w:r>
  </w:p>
  <w:p w:rsidR="001A2069" w:rsidRDefault="001A2069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53739"/>
    <w:multiLevelType w:val="hybridMultilevel"/>
    <w:tmpl w:val="9A120E9E"/>
    <w:lvl w:ilvl="0" w:tplc="2C425CF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33E08F9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A3C2EB6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9D18408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5B8EBCC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7EEAE3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0BABB4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E563AE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6BA462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3FD5A43"/>
    <w:multiLevelType w:val="hybridMultilevel"/>
    <w:tmpl w:val="19B0E76E"/>
    <w:lvl w:ilvl="0" w:tplc="E892ECB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6CAA45C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8B38763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3FD6731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031C8AC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CF456D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42C034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B428F2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1BC9F6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AFB6DB6"/>
    <w:multiLevelType w:val="hybridMultilevel"/>
    <w:tmpl w:val="46A47C7A"/>
    <w:lvl w:ilvl="0" w:tplc="FA064D3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BA7E185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3FD8D0C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94FE7F9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5880B41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D3DEA45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418C9D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95E04C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C4D25A7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433D487E"/>
    <w:multiLevelType w:val="hybridMultilevel"/>
    <w:tmpl w:val="B28AC71E"/>
    <w:lvl w:ilvl="0" w:tplc="5F84B9F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D6867C8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FA0A06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68805F2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78AEF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BE0DB9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B86755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E1AE84C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429A7C6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47554AA2"/>
    <w:multiLevelType w:val="hybridMultilevel"/>
    <w:tmpl w:val="D73EF67C"/>
    <w:lvl w:ilvl="0" w:tplc="81401822">
      <w:start w:val="1"/>
      <w:numFmt w:val="decimal"/>
      <w:lvlText w:val="%1."/>
      <w:lvlJc w:val="left"/>
      <w:pPr>
        <w:ind w:left="720" w:hanging="360"/>
      </w:pPr>
    </w:lvl>
    <w:lvl w:ilvl="1" w:tplc="0DB2AFFE">
      <w:start w:val="1"/>
      <w:numFmt w:val="lowerLetter"/>
      <w:lvlText w:val="%2."/>
      <w:lvlJc w:val="left"/>
      <w:pPr>
        <w:ind w:left="1440" w:hanging="360"/>
      </w:pPr>
    </w:lvl>
    <w:lvl w:ilvl="2" w:tplc="3BF6D27E">
      <w:start w:val="1"/>
      <w:numFmt w:val="lowerRoman"/>
      <w:lvlText w:val="%3."/>
      <w:lvlJc w:val="right"/>
      <w:pPr>
        <w:ind w:left="2160" w:hanging="180"/>
      </w:pPr>
    </w:lvl>
    <w:lvl w:ilvl="3" w:tplc="C9A66116">
      <w:start w:val="1"/>
      <w:numFmt w:val="decimal"/>
      <w:lvlText w:val="%4."/>
      <w:lvlJc w:val="left"/>
      <w:pPr>
        <w:ind w:left="2880" w:hanging="360"/>
      </w:pPr>
    </w:lvl>
    <w:lvl w:ilvl="4" w:tplc="20DE6852">
      <w:start w:val="1"/>
      <w:numFmt w:val="lowerLetter"/>
      <w:lvlText w:val="%5."/>
      <w:lvlJc w:val="left"/>
      <w:pPr>
        <w:ind w:left="3600" w:hanging="360"/>
      </w:pPr>
    </w:lvl>
    <w:lvl w:ilvl="5" w:tplc="67744F98">
      <w:start w:val="1"/>
      <w:numFmt w:val="lowerRoman"/>
      <w:lvlText w:val="%6."/>
      <w:lvlJc w:val="right"/>
      <w:pPr>
        <w:ind w:left="4320" w:hanging="180"/>
      </w:pPr>
    </w:lvl>
    <w:lvl w:ilvl="6" w:tplc="FCF637DC">
      <w:start w:val="1"/>
      <w:numFmt w:val="decimal"/>
      <w:lvlText w:val="%7."/>
      <w:lvlJc w:val="left"/>
      <w:pPr>
        <w:ind w:left="5040" w:hanging="360"/>
      </w:pPr>
    </w:lvl>
    <w:lvl w:ilvl="7" w:tplc="793E9F5A">
      <w:start w:val="1"/>
      <w:numFmt w:val="lowerLetter"/>
      <w:lvlText w:val="%8."/>
      <w:lvlJc w:val="left"/>
      <w:pPr>
        <w:ind w:left="5760" w:hanging="360"/>
      </w:pPr>
    </w:lvl>
    <w:lvl w:ilvl="8" w:tplc="A7FCF69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990EAC"/>
    <w:multiLevelType w:val="hybridMultilevel"/>
    <w:tmpl w:val="34C86962"/>
    <w:lvl w:ilvl="0" w:tplc="5FB2B1B2">
      <w:start w:val="1"/>
      <w:numFmt w:val="upperRoman"/>
      <w:lvlText w:val="%1."/>
      <w:lvlJc w:val="left"/>
      <w:pPr>
        <w:ind w:left="1080" w:hanging="720"/>
      </w:pPr>
    </w:lvl>
    <w:lvl w:ilvl="1" w:tplc="80720316">
      <w:start w:val="1"/>
      <w:numFmt w:val="lowerLetter"/>
      <w:lvlText w:val="%2."/>
      <w:lvlJc w:val="left"/>
      <w:pPr>
        <w:ind w:left="1440" w:hanging="360"/>
      </w:pPr>
    </w:lvl>
    <w:lvl w:ilvl="2" w:tplc="E680650C">
      <w:start w:val="1"/>
      <w:numFmt w:val="lowerRoman"/>
      <w:lvlText w:val="%3."/>
      <w:lvlJc w:val="right"/>
      <w:pPr>
        <w:ind w:left="2160" w:hanging="180"/>
      </w:pPr>
    </w:lvl>
    <w:lvl w:ilvl="3" w:tplc="E3889C22">
      <w:start w:val="1"/>
      <w:numFmt w:val="decimal"/>
      <w:lvlText w:val="%4."/>
      <w:lvlJc w:val="left"/>
      <w:pPr>
        <w:ind w:left="2880" w:hanging="360"/>
      </w:pPr>
    </w:lvl>
    <w:lvl w:ilvl="4" w:tplc="2A9C03D8">
      <w:start w:val="1"/>
      <w:numFmt w:val="lowerLetter"/>
      <w:lvlText w:val="%5."/>
      <w:lvlJc w:val="left"/>
      <w:pPr>
        <w:ind w:left="3600" w:hanging="360"/>
      </w:pPr>
    </w:lvl>
    <w:lvl w:ilvl="5" w:tplc="DA4420FC">
      <w:start w:val="1"/>
      <w:numFmt w:val="lowerRoman"/>
      <w:lvlText w:val="%6."/>
      <w:lvlJc w:val="right"/>
      <w:pPr>
        <w:ind w:left="4320" w:hanging="180"/>
      </w:pPr>
    </w:lvl>
    <w:lvl w:ilvl="6" w:tplc="E84EA04C">
      <w:start w:val="1"/>
      <w:numFmt w:val="decimal"/>
      <w:lvlText w:val="%7."/>
      <w:lvlJc w:val="left"/>
      <w:pPr>
        <w:ind w:left="5040" w:hanging="360"/>
      </w:pPr>
    </w:lvl>
    <w:lvl w:ilvl="7" w:tplc="F1C23AFC">
      <w:start w:val="1"/>
      <w:numFmt w:val="lowerLetter"/>
      <w:lvlText w:val="%8."/>
      <w:lvlJc w:val="left"/>
      <w:pPr>
        <w:ind w:left="5760" w:hanging="360"/>
      </w:pPr>
    </w:lvl>
    <w:lvl w:ilvl="8" w:tplc="352C2CA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C18D6"/>
    <w:multiLevelType w:val="hybridMultilevel"/>
    <w:tmpl w:val="159A2804"/>
    <w:lvl w:ilvl="0" w:tplc="A8A0AB0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17FCA13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6C94E1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23A094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5F747B8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4522869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200B31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726040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4D703AB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E0F1EF8"/>
    <w:multiLevelType w:val="hybridMultilevel"/>
    <w:tmpl w:val="6AF6F612"/>
    <w:lvl w:ilvl="0" w:tplc="B658C0E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A468AF0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F6CCA66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7A3818F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148E06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9625E8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942349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C2E0AC3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6164E0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990180D"/>
    <w:multiLevelType w:val="hybridMultilevel"/>
    <w:tmpl w:val="9AC88830"/>
    <w:lvl w:ilvl="0" w:tplc="1062E1F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AB905FF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D1E7BF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146E15F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6422E3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E00AA12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914B3E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E18A209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5E613E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2069"/>
    <w:rsid w:val="001A2069"/>
    <w:rsid w:val="00282C7A"/>
    <w:rsid w:val="002B270D"/>
    <w:rsid w:val="0031064F"/>
    <w:rsid w:val="00863F97"/>
    <w:rsid w:val="008765AC"/>
    <w:rsid w:val="00D62172"/>
    <w:rsid w:val="00F5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d">
    <w:name w:val="Верхний колонтитул Знак"/>
    <w:link w:val="ac"/>
    <w:uiPriority w:val="99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qFormat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Pr>
      <w:rFonts w:ascii="Arial" w:hAnsi="Arial" w:cs="Arial"/>
      <w:lang w:val="ru-RU" w:eastAsia="ru-RU" w:bidi="ar-SA"/>
    </w:rPr>
  </w:style>
  <w:style w:type="character" w:customStyle="1" w:styleId="52">
    <w:name w:val="Номер страницы;Знак Знак5"/>
    <w:rPr>
      <w:rFonts w:ascii="Calibri" w:eastAsia="Calibri" w:hAnsi="Calibri"/>
      <w:lang w:val="ru-RU" w:eastAsia="ru-RU" w:bidi="ar-SA"/>
    </w:rPr>
  </w:style>
  <w:style w:type="paragraph" w:customStyle="1" w:styleId="12">
    <w:name w:val="Основной шрифт абзаца1"/>
    <w:pPr>
      <w:spacing w:after="200" w:line="276" w:lineRule="auto"/>
    </w:pPr>
    <w:rPr>
      <w:color w:val="000000"/>
      <w:sz w:val="22"/>
    </w:rPr>
  </w:style>
  <w:style w:type="character" w:customStyle="1" w:styleId="a4">
    <w:name w:val="Абзац списка Знак"/>
    <w:link w:val="a3"/>
    <w:uiPriority w:val="34"/>
    <w:rPr>
      <w:sz w:val="24"/>
      <w:szCs w:val="24"/>
      <w:lang w:val="ru-RU" w:eastAsia="ru-RU" w:bidi="ar-SA"/>
    </w:rPr>
  </w:style>
  <w:style w:type="character" w:customStyle="1" w:styleId="42">
    <w:name w:val="Знак сноски;Знак Знак4"/>
    <w:rPr>
      <w:color w:val="000000"/>
      <w:vertAlign w:val="superscript"/>
      <w:lang w:val="ru-RU" w:eastAsia="ru-RU" w:bidi="ar-SA"/>
    </w:rPr>
  </w:style>
  <w:style w:type="character" w:customStyle="1" w:styleId="af4">
    <w:name w:val="Текст сноски Знак"/>
    <w:link w:val="af3"/>
    <w:uiPriority w:val="99"/>
    <w:semiHidden/>
    <w:rPr>
      <w:lang w:val="ru-RU" w:eastAsia="ru-RU" w:bidi="ar-SA"/>
    </w:r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character" w:customStyle="1" w:styleId="24">
    <w:name w:val="Гиперссылка;Знак Знак2"/>
    <w:link w:val="UserStyle3"/>
    <w:uiPriority w:val="99"/>
    <w:rPr>
      <w:color w:val="0000FF"/>
      <w:u w:val="single"/>
      <w:lang w:val="ru-RU" w:eastAsia="ru-RU" w:bidi="ar-SA"/>
    </w:rPr>
  </w:style>
  <w:style w:type="paragraph" w:customStyle="1" w:styleId="UserStyle3">
    <w:name w:val="UserStyle_3"/>
    <w:link w:val="24"/>
    <w:pPr>
      <w:spacing w:after="200" w:line="276" w:lineRule="auto"/>
    </w:pPr>
    <w:rPr>
      <w:color w:val="0000FF"/>
      <w:sz w:val="22"/>
      <w:u w:val="single"/>
    </w:rPr>
  </w:style>
  <w:style w:type="paragraph" w:customStyle="1" w:styleId="afb">
    <w:name w:val="Нормальный (таблица)"/>
    <w:basedOn w:val="a"/>
    <w:next w:val="a"/>
    <w:uiPriority w:val="99"/>
    <w:pPr>
      <w:widowControl w:val="0"/>
      <w:jc w:val="both"/>
    </w:pPr>
  </w:style>
  <w:style w:type="character" w:customStyle="1" w:styleId="af">
    <w:name w:val="Нижний колонтитул Знак"/>
    <w:link w:val="ae"/>
    <w:uiPriority w:val="99"/>
    <w:rPr>
      <w:sz w:val="24"/>
      <w:szCs w:val="24"/>
      <w:lang w:val="ru-RU" w:eastAsia="ru-RU" w:bidi="ar-SA"/>
    </w:rPr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79222/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3307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 6.</dc:creator>
  <cp:lastModifiedBy>Ахмеева Валентина Андреевна</cp:lastModifiedBy>
  <cp:revision>6</cp:revision>
  <cp:lastPrinted>2024-10-28T11:55:00Z</cp:lastPrinted>
  <dcterms:created xsi:type="dcterms:W3CDTF">2024-10-24T13:05:00Z</dcterms:created>
  <dcterms:modified xsi:type="dcterms:W3CDTF">2024-10-30T07:21:00Z</dcterms:modified>
  <cp:version>730895</cp:version>
</cp:coreProperties>
</file>